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157F2" w14:textId="1C699D8B" w:rsidR="00DB369A" w:rsidRPr="00CD459A" w:rsidRDefault="0092577E" w:rsidP="00DB369A">
      <w:pPr>
        <w:ind w:firstLine="708"/>
        <w:rPr>
          <w:rFonts w:ascii="Verdana" w:hAnsi="Verdana"/>
          <w:lang w:val="es-ES"/>
        </w:rPr>
      </w:pPr>
      <w:r w:rsidRPr="00CD459A">
        <w:rPr>
          <w:rFonts w:ascii="Verdana" w:hAnsi="Verdana"/>
          <w:noProof/>
          <w:lang w:val="es-ES"/>
        </w:rPr>
        <w:drawing>
          <wp:anchor distT="0" distB="0" distL="114300" distR="114300" simplePos="0" relativeHeight="251668480" behindDoc="1" locked="0" layoutInCell="1" allowOverlap="1" wp14:anchorId="5DFB751A" wp14:editId="5D227D18">
            <wp:simplePos x="0" y="0"/>
            <wp:positionH relativeFrom="column">
              <wp:posOffset>-1144304</wp:posOffset>
            </wp:positionH>
            <wp:positionV relativeFrom="paragraph">
              <wp:posOffset>-1101424</wp:posOffset>
            </wp:positionV>
            <wp:extent cx="7892715" cy="10213734"/>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95554" cy="10217408"/>
                    </a:xfrm>
                    <a:prstGeom prst="rect">
                      <a:avLst/>
                    </a:prstGeom>
                  </pic:spPr>
                </pic:pic>
              </a:graphicData>
            </a:graphic>
            <wp14:sizeRelH relativeFrom="page">
              <wp14:pctWidth>0</wp14:pctWidth>
            </wp14:sizeRelH>
            <wp14:sizeRelV relativeFrom="page">
              <wp14:pctHeight>0</wp14:pctHeight>
            </wp14:sizeRelV>
          </wp:anchor>
        </w:drawing>
      </w:r>
    </w:p>
    <w:p w14:paraId="25B01132" w14:textId="6B4084E1" w:rsidR="0089045F" w:rsidRPr="00CD459A" w:rsidRDefault="0089045F" w:rsidP="00DB369A">
      <w:pPr>
        <w:ind w:firstLine="708"/>
        <w:rPr>
          <w:rFonts w:ascii="Verdana" w:hAnsi="Verdana"/>
          <w:lang w:val="es-ES"/>
        </w:rPr>
      </w:pPr>
    </w:p>
    <w:p w14:paraId="37430072" w14:textId="77142B30" w:rsidR="0089045F" w:rsidRPr="00CD459A" w:rsidRDefault="0089045F" w:rsidP="00DB369A">
      <w:pPr>
        <w:ind w:firstLine="708"/>
        <w:rPr>
          <w:rFonts w:ascii="Verdana" w:hAnsi="Verdana"/>
          <w:lang w:val="es-ES"/>
        </w:rPr>
      </w:pPr>
    </w:p>
    <w:p w14:paraId="3DC9C7CA" w14:textId="66FD67E3" w:rsidR="0089045F" w:rsidRPr="00CD459A" w:rsidRDefault="0089045F" w:rsidP="00DB369A">
      <w:pPr>
        <w:ind w:firstLine="708"/>
        <w:rPr>
          <w:rFonts w:ascii="Verdana" w:hAnsi="Verdana"/>
          <w:lang w:val="es-ES"/>
        </w:rPr>
      </w:pPr>
    </w:p>
    <w:p w14:paraId="62C2A899" w14:textId="77777777" w:rsidR="0089045F" w:rsidRPr="00CD459A" w:rsidRDefault="0089045F" w:rsidP="00DB369A">
      <w:pPr>
        <w:ind w:firstLine="708"/>
        <w:rPr>
          <w:rFonts w:ascii="Verdana" w:hAnsi="Verdana"/>
          <w:lang w:val="es-ES"/>
        </w:rPr>
      </w:pPr>
    </w:p>
    <w:p w14:paraId="5347C91A" w14:textId="7830AE65" w:rsidR="0089045F" w:rsidRPr="00CD459A" w:rsidRDefault="00A72A1E" w:rsidP="0089045F">
      <w:pPr>
        <w:tabs>
          <w:tab w:val="left" w:pos="7602"/>
        </w:tabs>
        <w:rPr>
          <w:rFonts w:ascii="Verdana" w:hAnsi="Verdana"/>
          <w:lang w:val="es-ES"/>
        </w:rPr>
        <w:sectPr w:rsidR="0089045F" w:rsidRPr="00CD459A" w:rsidSect="0089045F">
          <w:headerReference w:type="default" r:id="rId12"/>
          <w:footerReference w:type="default" r:id="rId13"/>
          <w:pgSz w:w="12240" w:h="15840"/>
          <w:pgMar w:top="1684" w:right="1701" w:bottom="1417" w:left="1701" w:header="708" w:footer="708" w:gutter="0"/>
          <w:cols w:space="708"/>
          <w:titlePg/>
          <w:docGrid w:linePitch="360"/>
        </w:sectPr>
      </w:pPr>
      <w:r w:rsidRPr="00CD459A">
        <w:rPr>
          <w:rFonts w:ascii="Verdana" w:hAnsi="Verdana"/>
          <w:noProof/>
        </w:rPr>
        <mc:AlternateContent>
          <mc:Choice Requires="wps">
            <w:drawing>
              <wp:anchor distT="45720" distB="45720" distL="114300" distR="114300" simplePos="0" relativeHeight="251661312" behindDoc="0" locked="0" layoutInCell="1" allowOverlap="1" wp14:anchorId="6E429245" wp14:editId="6E8A4A3E">
                <wp:simplePos x="0" y="0"/>
                <wp:positionH relativeFrom="column">
                  <wp:posOffset>2415540</wp:posOffset>
                </wp:positionH>
                <wp:positionV relativeFrom="paragraph">
                  <wp:posOffset>4720590</wp:posOffset>
                </wp:positionV>
                <wp:extent cx="3712845" cy="990600"/>
                <wp:effectExtent l="0" t="0" r="0" b="0"/>
                <wp:wrapNone/>
                <wp:docPr id="108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2845" cy="990600"/>
                        </a:xfrm>
                        <a:prstGeom prst="rect">
                          <a:avLst/>
                        </a:prstGeom>
                        <a:noFill/>
                        <a:ln w="9525">
                          <a:noFill/>
                          <a:miter lim="800000"/>
                          <a:headEnd/>
                          <a:tailEnd/>
                        </a:ln>
                      </wps:spPr>
                      <wps:txbx>
                        <w:txbxContent>
                          <w:p w14:paraId="21B077BD" w14:textId="281C4F0E" w:rsidR="0092577E" w:rsidRPr="0092577E" w:rsidRDefault="00A72A1E" w:rsidP="0092577E">
                            <w:pPr>
                              <w:jc w:val="right"/>
                              <w:rPr>
                                <w:rFonts w:ascii="Verdana" w:hAnsi="Verdana"/>
                                <w:bCs/>
                                <w:sz w:val="32"/>
                                <w:szCs w:val="32"/>
                              </w:rPr>
                            </w:pPr>
                            <w:r w:rsidRPr="00A72A1E">
                              <w:rPr>
                                <w:rFonts w:ascii="Verdana" w:hAnsi="Verdana" w:cs="Arial"/>
                                <w:b/>
                                <w:sz w:val="32"/>
                                <w:szCs w:val="32"/>
                                <w:lang w:val="es-ES"/>
                              </w:rPr>
                              <w:t>MANUAL DE POLITICAS CONTABLES SISTEMA GENERAL DE REGALIAS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E429245" id="_x0000_t202" coordsize="21600,21600" o:spt="202" path="m,l,21600r21600,l21600,xe">
                <v:stroke joinstyle="miter"/>
                <v:path gradientshapeok="t" o:connecttype="rect"/>
              </v:shapetype>
              <v:shape id="Cuadro de texto 2" o:spid="_x0000_s1026" type="#_x0000_t202" style="position:absolute;margin-left:190.2pt;margin-top:371.7pt;width:292.35pt;height:7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" filled="f" stroked="f">
                <v:textbox>
                  <w:txbxContent>
                    <w:p w14:paraId="21B077BD" w14:textId="281C4F0E" w:rsidR="0092577E" w:rsidRPr="0092577E" w:rsidRDefault="00A72A1E" w:rsidP="0092577E">
                      <w:pPr>
                        <w:jc w:val="right"/>
                        <w:rPr>
                          <w:rFonts w:ascii="Verdana" w:hAnsi="Verdana"/>
                          <w:bCs/>
                          <w:sz w:val="32"/>
                          <w:szCs w:val="32"/>
                        </w:rPr>
                      </w:pPr>
                      <w:r w:rsidRPr="00A72A1E">
                        <w:rPr>
                          <w:rFonts w:ascii="Verdana" w:hAnsi="Verdana" w:cs="Arial"/>
                          <w:b/>
                          <w:sz w:val="32"/>
                          <w:szCs w:val="32"/>
                          <w:lang w:val="es-ES"/>
                        </w:rPr>
                        <w:t>MANUAL DE POLITICAS CONTABLES SISTEMA GENERAL DE REGALIAS</w:t>
                      </w:r>
                    </w:p>
                  </w:txbxContent>
                </v:textbox>
              </v:shape>
            </w:pict>
          </mc:Fallback>
        </mc:AlternateContent>
      </w:r>
      <w:r w:rsidR="009464B6" w:rsidRPr="00CD459A">
        <w:rPr>
          <w:rFonts w:ascii="Verdana" w:hAnsi="Verdana"/>
          <w:noProof/>
        </w:rPr>
        <mc:AlternateContent>
          <mc:Choice Requires="wps">
            <w:drawing>
              <wp:anchor distT="45720" distB="45720" distL="114300" distR="114300" simplePos="0" relativeHeight="251671552" behindDoc="0" locked="0" layoutInCell="1" allowOverlap="1" wp14:anchorId="53EE170C" wp14:editId="2E4A991C">
                <wp:simplePos x="0" y="0"/>
                <wp:positionH relativeFrom="column">
                  <wp:posOffset>2408956</wp:posOffset>
                </wp:positionH>
                <wp:positionV relativeFrom="paragraph">
                  <wp:posOffset>6177915</wp:posOffset>
                </wp:positionV>
                <wp:extent cx="3731895" cy="368935"/>
                <wp:effectExtent l="0" t="0" r="0" b="0"/>
                <wp:wrapNone/>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1895" cy="368935"/>
                        </a:xfrm>
                        <a:prstGeom prst="rect">
                          <a:avLst/>
                        </a:prstGeom>
                        <a:noFill/>
                        <a:ln w="9525">
                          <a:noFill/>
                          <a:miter lim="800000"/>
                          <a:headEnd/>
                          <a:tailEnd/>
                        </a:ln>
                      </wps:spPr>
                      <wps:txbx>
                        <w:txbxContent>
                          <w:p w14:paraId="70A215F3" w14:textId="4D426C9A" w:rsidR="009464B6" w:rsidRPr="009464B6" w:rsidRDefault="00A72A1E" w:rsidP="009464B6">
                            <w:pPr>
                              <w:jc w:val="right"/>
                              <w:rPr>
                                <w:rFonts w:ascii="Verdana" w:hAnsi="Verdana"/>
                                <w:bCs/>
                                <w:sz w:val="24"/>
                                <w:szCs w:val="24"/>
                                <w:lang w:val="es-ES"/>
                              </w:rPr>
                            </w:pPr>
                            <w:r>
                              <w:rPr>
                                <w:rFonts w:ascii="Verdana" w:hAnsi="Verdana" w:cs="Arial"/>
                                <w:bCs/>
                                <w:sz w:val="24"/>
                                <w:szCs w:val="24"/>
                                <w:lang w:val="es-ES"/>
                              </w:rPr>
                              <w:t xml:space="preserve">07 de </w:t>
                            </w:r>
                            <w:proofErr w:type="gramStart"/>
                            <w:r>
                              <w:rPr>
                                <w:rFonts w:ascii="Verdana" w:hAnsi="Verdana" w:cs="Arial"/>
                                <w:bCs/>
                                <w:sz w:val="24"/>
                                <w:szCs w:val="24"/>
                                <w:lang w:val="es-ES"/>
                              </w:rPr>
                              <w:t>Febrero</w:t>
                            </w:r>
                            <w:proofErr w:type="gramEnd"/>
                            <w:r>
                              <w:rPr>
                                <w:rFonts w:ascii="Verdana" w:hAnsi="Verdana" w:cs="Arial"/>
                                <w:bCs/>
                                <w:sz w:val="24"/>
                                <w:szCs w:val="24"/>
                                <w:lang w:val="es-ES"/>
                              </w:rPr>
                              <w:t xml:space="preserve"> de 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E170C" id="_x0000_s1027" type="#_x0000_t202" style="position:absolute;margin-left:189.7pt;margin-top:486.45pt;width:293.85pt;height:29.0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" filled="f" stroked="f">
                <v:textbox>
                  <w:txbxContent>
                    <w:p w14:paraId="70A215F3" w14:textId="4D426C9A" w:rsidR="009464B6" w:rsidRPr="009464B6" w:rsidRDefault="00A72A1E" w:rsidP="009464B6">
                      <w:pPr>
                        <w:jc w:val="right"/>
                        <w:rPr>
                          <w:rFonts w:ascii="Verdana" w:hAnsi="Verdana"/>
                          <w:bCs/>
                          <w:sz w:val="24"/>
                          <w:szCs w:val="24"/>
                          <w:lang w:val="es-ES"/>
                        </w:rPr>
                      </w:pPr>
                      <w:r>
                        <w:rPr>
                          <w:rFonts w:ascii="Verdana" w:hAnsi="Verdana" w:cs="Arial"/>
                          <w:bCs/>
                          <w:sz w:val="24"/>
                          <w:szCs w:val="24"/>
                          <w:lang w:val="es-ES"/>
                        </w:rPr>
                        <w:t xml:space="preserve">07 de </w:t>
                      </w:r>
                      <w:proofErr w:type="gramStart"/>
                      <w:r>
                        <w:rPr>
                          <w:rFonts w:ascii="Verdana" w:hAnsi="Verdana" w:cs="Arial"/>
                          <w:bCs/>
                          <w:sz w:val="24"/>
                          <w:szCs w:val="24"/>
                          <w:lang w:val="es-ES"/>
                        </w:rPr>
                        <w:t>Febrero</w:t>
                      </w:r>
                      <w:proofErr w:type="gramEnd"/>
                      <w:r>
                        <w:rPr>
                          <w:rFonts w:ascii="Verdana" w:hAnsi="Verdana" w:cs="Arial"/>
                          <w:bCs/>
                          <w:sz w:val="24"/>
                          <w:szCs w:val="24"/>
                          <w:lang w:val="es-ES"/>
                        </w:rPr>
                        <w:t xml:space="preserve"> de 2022</w:t>
                      </w:r>
                    </w:p>
                  </w:txbxContent>
                </v:textbox>
              </v:shape>
            </w:pict>
          </mc:Fallback>
        </mc:AlternateContent>
      </w:r>
      <w:r w:rsidR="0092577E" w:rsidRPr="00CD459A">
        <w:rPr>
          <w:rFonts w:ascii="Verdana" w:hAnsi="Verdana"/>
          <w:noProof/>
        </w:rPr>
        <mc:AlternateContent>
          <mc:Choice Requires="wps">
            <w:drawing>
              <wp:anchor distT="45720" distB="45720" distL="114300" distR="114300" simplePos="0" relativeHeight="251663360" behindDoc="0" locked="0" layoutInCell="1" allowOverlap="1" wp14:anchorId="0CE9E993" wp14:editId="4BA48640">
                <wp:simplePos x="0" y="0"/>
                <wp:positionH relativeFrom="column">
                  <wp:posOffset>2400935</wp:posOffset>
                </wp:positionH>
                <wp:positionV relativeFrom="paragraph">
                  <wp:posOffset>5654508</wp:posOffset>
                </wp:positionV>
                <wp:extent cx="3731895" cy="368935"/>
                <wp:effectExtent l="0" t="0" r="0" b="0"/>
                <wp:wrapNone/>
                <wp:docPr id="108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1895" cy="368935"/>
                        </a:xfrm>
                        <a:prstGeom prst="rect">
                          <a:avLst/>
                        </a:prstGeom>
                        <a:noFill/>
                        <a:ln w="9525">
                          <a:noFill/>
                          <a:miter lim="800000"/>
                          <a:headEnd/>
                          <a:tailEnd/>
                        </a:ln>
                      </wps:spPr>
                      <wps:txbx>
                        <w:txbxContent>
                          <w:p w14:paraId="7E865DD8" w14:textId="4324CF4D" w:rsidR="0089045F" w:rsidRPr="0092577E" w:rsidRDefault="0089045F" w:rsidP="0092577E">
                            <w:pPr>
                              <w:jc w:val="right"/>
                              <w:rPr>
                                <w:rFonts w:ascii="Verdana" w:hAnsi="Verdana"/>
                                <w:sz w:val="24"/>
                                <w:szCs w:val="24"/>
                              </w:rPr>
                            </w:pPr>
                            <w:r w:rsidRPr="0092577E">
                              <w:rPr>
                                <w:rFonts w:ascii="Verdana" w:hAnsi="Verdana" w:cs="Arial"/>
                                <w:b/>
                                <w:sz w:val="24"/>
                                <w:szCs w:val="24"/>
                              </w:rPr>
                              <w:t xml:space="preserve">Versión </w:t>
                            </w:r>
                            <w:r w:rsidR="00A72A1E">
                              <w:rPr>
                                <w:rFonts w:ascii="Verdana" w:hAnsi="Verdana" w:cs="Arial"/>
                                <w:b/>
                                <w:sz w:val="24"/>
                                <w:szCs w:val="24"/>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E9E993" id="_x0000_s1028" type="#_x0000_t202" style="position:absolute;margin-left:189.05pt;margin-top:445.25pt;width:293.85pt;height:29.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" filled="f" stroked="f">
                <v:textbox>
                  <w:txbxContent>
                    <w:p w14:paraId="7E865DD8" w14:textId="4324CF4D" w:rsidR="0089045F" w:rsidRPr="0092577E" w:rsidRDefault="0089045F" w:rsidP="0092577E">
                      <w:pPr>
                        <w:jc w:val="right"/>
                        <w:rPr>
                          <w:rFonts w:ascii="Verdana" w:hAnsi="Verdana"/>
                          <w:sz w:val="24"/>
                          <w:szCs w:val="24"/>
                        </w:rPr>
                      </w:pPr>
                      <w:r w:rsidRPr="0092577E">
                        <w:rPr>
                          <w:rFonts w:ascii="Verdana" w:hAnsi="Verdana" w:cs="Arial"/>
                          <w:b/>
                          <w:sz w:val="24"/>
                          <w:szCs w:val="24"/>
                        </w:rPr>
                        <w:t xml:space="preserve">Versión </w:t>
                      </w:r>
                      <w:r w:rsidR="00A72A1E">
                        <w:rPr>
                          <w:rFonts w:ascii="Verdana" w:hAnsi="Verdana" w:cs="Arial"/>
                          <w:b/>
                          <w:sz w:val="24"/>
                          <w:szCs w:val="24"/>
                        </w:rPr>
                        <w:t>5</w:t>
                      </w:r>
                    </w:p>
                  </w:txbxContent>
                </v:textbox>
              </v:shape>
            </w:pict>
          </mc:Fallback>
        </mc:AlternateContent>
      </w:r>
      <w:r w:rsidR="0089045F" w:rsidRPr="00CD459A">
        <w:rPr>
          <w:rFonts w:ascii="Verdana" w:hAnsi="Verdana"/>
          <w:lang w:val="es-ES"/>
        </w:rPr>
        <w:tab/>
      </w:r>
    </w:p>
    <w:p w14:paraId="07B5F944" w14:textId="0E6F5B29" w:rsidR="0089045F" w:rsidRPr="00CD459A" w:rsidRDefault="007C7EF4" w:rsidP="007C7EF4">
      <w:pPr>
        <w:tabs>
          <w:tab w:val="left" w:pos="6615"/>
        </w:tabs>
        <w:rPr>
          <w:rFonts w:ascii="Verdana" w:hAnsi="Verdana"/>
          <w:lang w:val="es-ES"/>
        </w:rPr>
      </w:pPr>
      <w:r w:rsidRPr="00CD459A">
        <w:rPr>
          <w:rFonts w:ascii="Verdana" w:hAnsi="Verdana"/>
          <w:lang w:val="es-ES"/>
        </w:rPr>
        <w:lastRenderedPageBreak/>
        <w:tab/>
      </w:r>
    </w:p>
    <w:p w14:paraId="15FEEC04" w14:textId="77777777" w:rsidR="007C7EF4" w:rsidRPr="00CD459A" w:rsidRDefault="007C7EF4" w:rsidP="007C7EF4">
      <w:pPr>
        <w:jc w:val="center"/>
        <w:rPr>
          <w:rFonts w:ascii="Verdana" w:hAnsi="Verdana" w:cs="Arial"/>
          <w:b/>
        </w:rPr>
      </w:pPr>
      <w:bookmarkStart w:id="0" w:name="_Toc126147374"/>
      <w:bookmarkStart w:id="1" w:name="_Toc126301040"/>
      <w:r w:rsidRPr="00CD459A">
        <w:rPr>
          <w:rFonts w:ascii="Verdana" w:hAnsi="Verdana" w:cs="Arial"/>
          <w:b/>
        </w:rPr>
        <w:t>TABLA DE CONTENIDO</w:t>
      </w:r>
    </w:p>
    <w:p w14:paraId="2DEF9F7E"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r w:rsidRPr="00CD459A">
        <w:rPr>
          <w:rFonts w:ascii="Verdana" w:eastAsia="Times New Roman" w:hAnsi="Verdana" w:cs="Arial"/>
          <w:b/>
          <w:noProof/>
          <w:lang w:val="es-MX"/>
        </w:rPr>
        <w:fldChar w:fldCharType="begin"/>
      </w:r>
      <w:r w:rsidRPr="007C7EF4">
        <w:rPr>
          <w:rFonts w:ascii="Verdana" w:eastAsia="Times New Roman" w:hAnsi="Verdana" w:cs="Arial"/>
          <w:b/>
          <w:noProof/>
          <w:lang w:val="es-MX"/>
        </w:rPr>
        <w:instrText xml:space="preserve"> TOC \o "1-3" \h \z \u </w:instrText>
      </w:r>
      <w:r w:rsidRPr="00CD459A">
        <w:rPr>
          <w:rFonts w:ascii="Verdana" w:eastAsia="Times New Roman" w:hAnsi="Verdana" w:cs="Arial"/>
          <w:b/>
          <w:noProof/>
          <w:lang w:val="es-MX"/>
        </w:rPr>
        <w:fldChar w:fldCharType="separate"/>
      </w:r>
      <w:hyperlink w:anchor="_Toc94710186" w:history="1">
        <w:r w:rsidRPr="007C7EF4">
          <w:rPr>
            <w:rFonts w:ascii="Verdana" w:eastAsia="Times New Roman" w:hAnsi="Verdana" w:cs="Arial"/>
            <w:b/>
            <w:noProof/>
            <w:lang w:val="es-MX"/>
          </w:rPr>
          <w:t>1</w:t>
        </w:r>
        <w:r w:rsidRPr="007C7EF4">
          <w:rPr>
            <w:rFonts w:ascii="Verdana" w:eastAsia="Times New Roman" w:hAnsi="Verdana" w:cs="Arial"/>
            <w:noProof/>
            <w:lang w:eastAsia="es-CO"/>
          </w:rPr>
          <w:tab/>
        </w:r>
        <w:r w:rsidRPr="007C7EF4">
          <w:rPr>
            <w:rFonts w:ascii="Verdana" w:eastAsia="Times New Roman" w:hAnsi="Verdana" w:cs="Arial"/>
            <w:b/>
            <w:noProof/>
            <w:lang w:val="es-MX"/>
          </w:rPr>
          <w:t>INTRODUCCIÓN</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_Toc94710186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3</w:t>
        </w:r>
        <w:r w:rsidRPr="007C7EF4">
          <w:rPr>
            <w:rFonts w:ascii="Verdana" w:eastAsia="Times New Roman" w:hAnsi="Verdana" w:cs="Arial"/>
            <w:b/>
            <w:noProof/>
            <w:webHidden/>
            <w:lang w:val="es-MX"/>
          </w:rPr>
          <w:fldChar w:fldCharType="end"/>
        </w:r>
      </w:hyperlink>
    </w:p>
    <w:p w14:paraId="5CC667C2"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187" w:history="1">
        <w:r w:rsidRPr="007C7EF4">
          <w:rPr>
            <w:rFonts w:ascii="Verdana" w:eastAsia="Times New Roman" w:hAnsi="Verdana" w:cs="Arial"/>
            <w:b/>
            <w:noProof/>
            <w:lang w:val="es-MX"/>
          </w:rPr>
          <w:t>2</w:t>
        </w:r>
        <w:r w:rsidRPr="007C7EF4">
          <w:rPr>
            <w:rFonts w:ascii="Verdana" w:eastAsia="Times New Roman" w:hAnsi="Verdana" w:cs="Arial"/>
            <w:noProof/>
            <w:lang w:eastAsia="es-CO"/>
          </w:rPr>
          <w:tab/>
        </w:r>
        <w:r w:rsidRPr="007C7EF4">
          <w:rPr>
            <w:rFonts w:ascii="Verdana" w:eastAsia="Times New Roman" w:hAnsi="Verdana" w:cs="Arial"/>
            <w:b/>
            <w:noProof/>
            <w:lang w:val="es-MX"/>
          </w:rPr>
          <w:t>OBJETIVO GENERAL</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_Toc94710187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5</w:t>
        </w:r>
        <w:r w:rsidRPr="007C7EF4">
          <w:rPr>
            <w:rFonts w:ascii="Verdana" w:eastAsia="Times New Roman" w:hAnsi="Verdana" w:cs="Arial"/>
            <w:b/>
            <w:noProof/>
            <w:webHidden/>
            <w:lang w:val="es-MX"/>
          </w:rPr>
          <w:fldChar w:fldCharType="end"/>
        </w:r>
      </w:hyperlink>
    </w:p>
    <w:p w14:paraId="42876627"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188" w:history="1">
        <w:r w:rsidRPr="007C7EF4">
          <w:rPr>
            <w:rFonts w:ascii="Verdana" w:eastAsia="Times New Roman" w:hAnsi="Verdana" w:cs="Arial"/>
            <w:b/>
            <w:noProof/>
            <w:lang w:val="es-MX"/>
          </w:rPr>
          <w:t>3</w:t>
        </w:r>
        <w:r w:rsidRPr="007C7EF4">
          <w:rPr>
            <w:rFonts w:ascii="Verdana" w:eastAsia="Times New Roman" w:hAnsi="Verdana" w:cs="Arial"/>
            <w:noProof/>
            <w:lang w:eastAsia="es-CO"/>
          </w:rPr>
          <w:tab/>
        </w:r>
        <w:r w:rsidRPr="007C7EF4">
          <w:rPr>
            <w:rFonts w:ascii="Verdana" w:eastAsia="Times New Roman" w:hAnsi="Verdana" w:cs="Arial"/>
            <w:b/>
            <w:noProof/>
            <w:lang w:val="es-MX"/>
          </w:rPr>
          <w:t>ALCANCE DEL MANUAL DE POLÍTICAS CONTABLES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_Toc94710188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5</w:t>
        </w:r>
        <w:r w:rsidRPr="007C7EF4">
          <w:rPr>
            <w:rFonts w:ascii="Verdana" w:eastAsia="Times New Roman" w:hAnsi="Verdana" w:cs="Arial"/>
            <w:b/>
            <w:noProof/>
            <w:webHidden/>
            <w:lang w:val="es-MX"/>
          </w:rPr>
          <w:fldChar w:fldCharType="end"/>
        </w:r>
      </w:hyperlink>
    </w:p>
    <w:p w14:paraId="5F66B67D"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189" w:history="1">
        <w:r w:rsidRPr="007C7EF4">
          <w:rPr>
            <w:rFonts w:ascii="Verdana" w:eastAsia="Times New Roman" w:hAnsi="Verdana" w:cs="Arial"/>
            <w:b/>
            <w:noProof/>
            <w:lang w:val="es-MX"/>
          </w:rPr>
          <w:t>4</w:t>
        </w:r>
        <w:r w:rsidRPr="007C7EF4">
          <w:rPr>
            <w:rFonts w:ascii="Verdana" w:eastAsia="Times New Roman" w:hAnsi="Verdana" w:cs="Arial"/>
            <w:noProof/>
            <w:lang w:eastAsia="es-CO"/>
          </w:rPr>
          <w:tab/>
        </w:r>
        <w:r w:rsidRPr="007C7EF4">
          <w:rPr>
            <w:rFonts w:ascii="Verdana" w:eastAsia="Times New Roman" w:hAnsi="Verdana" w:cs="Arial"/>
            <w:b/>
            <w:noProof/>
            <w:lang w:val="es-MX"/>
          </w:rPr>
          <w:t>PRODUCTOS ESPERADOS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_Toc94710189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5</w:t>
        </w:r>
        <w:r w:rsidRPr="007C7EF4">
          <w:rPr>
            <w:rFonts w:ascii="Verdana" w:eastAsia="Times New Roman" w:hAnsi="Verdana" w:cs="Arial"/>
            <w:b/>
            <w:noProof/>
            <w:webHidden/>
            <w:lang w:val="es-MX"/>
          </w:rPr>
          <w:fldChar w:fldCharType="end"/>
        </w:r>
      </w:hyperlink>
    </w:p>
    <w:p w14:paraId="0273CED4"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190" w:history="1">
        <w:r w:rsidRPr="007C7EF4">
          <w:rPr>
            <w:rFonts w:ascii="Verdana" w:eastAsia="Times New Roman" w:hAnsi="Verdana" w:cs="Arial"/>
            <w:b/>
            <w:noProof/>
            <w:lang w:val="es-ES_tradnl"/>
          </w:rPr>
          <w:t>5</w:t>
        </w:r>
        <w:r w:rsidRPr="007C7EF4">
          <w:rPr>
            <w:rFonts w:ascii="Verdana" w:eastAsia="Times New Roman" w:hAnsi="Verdana" w:cs="Arial"/>
            <w:noProof/>
            <w:lang w:eastAsia="es-CO"/>
          </w:rPr>
          <w:tab/>
        </w:r>
        <w:r w:rsidRPr="007C7EF4">
          <w:rPr>
            <w:rFonts w:ascii="Verdana" w:eastAsia="Times New Roman" w:hAnsi="Verdana" w:cs="Arial"/>
            <w:b/>
            <w:noProof/>
            <w:lang w:val="es-MX"/>
          </w:rPr>
          <w:t>TERMINOS Y DEFINICIONES - DEFINICIÓN, RECONOCIMIENTO, MEDICIÓN Y REVELACIÓN DE LOS</w:t>
        </w:r>
        <w:r w:rsidRPr="007C7EF4">
          <w:rPr>
            <w:rFonts w:ascii="Verdana" w:eastAsia="Times New Roman" w:hAnsi="Verdana" w:cs="Arial"/>
            <w:b/>
            <w:noProof/>
            <w:lang w:val="es-ES_tradnl"/>
          </w:rPr>
          <w:t xml:space="preserve"> </w:t>
        </w:r>
        <w:r w:rsidRPr="007C7EF4">
          <w:rPr>
            <w:rFonts w:ascii="Verdana" w:eastAsia="Times New Roman" w:hAnsi="Verdana" w:cs="Arial"/>
            <w:b/>
            <w:noProof/>
            <w:lang w:val="es-MX"/>
          </w:rPr>
          <w:t>ELEMENTOS QUE CONSTITUYEN LOS ESTADOS FINANCIEROS-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_Toc94710190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5</w:t>
        </w:r>
        <w:r w:rsidRPr="007C7EF4">
          <w:rPr>
            <w:rFonts w:ascii="Verdana" w:eastAsia="Times New Roman" w:hAnsi="Verdana" w:cs="Arial"/>
            <w:b/>
            <w:noProof/>
            <w:webHidden/>
            <w:lang w:val="es-MX"/>
          </w:rPr>
          <w:fldChar w:fldCharType="end"/>
        </w:r>
      </w:hyperlink>
    </w:p>
    <w:p w14:paraId="2FD24055"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191" w:history="1">
        <w:r w:rsidRPr="007C7EF4">
          <w:rPr>
            <w:rFonts w:ascii="Verdana" w:eastAsia="Times New Roman" w:hAnsi="Verdana" w:cs="Arial"/>
            <w:noProof/>
            <w:lang w:val="es-ES_tradnl" w:eastAsia="es-ES"/>
          </w:rPr>
          <w:t>5.1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DEFINICIÓN DE LOS ELEMENTOS QUE CONSTITUYEN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5</w:t>
        </w:r>
        <w:r w:rsidRPr="007C7EF4">
          <w:rPr>
            <w:rFonts w:ascii="Verdana" w:eastAsia="Times New Roman" w:hAnsi="Verdana" w:cs="Arial"/>
            <w:noProof/>
            <w:webHidden/>
            <w:lang w:val="es-ES" w:eastAsia="es-ES"/>
          </w:rPr>
          <w:fldChar w:fldCharType="end"/>
        </w:r>
      </w:hyperlink>
    </w:p>
    <w:p w14:paraId="2FFAC1E4"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2" w:history="1">
        <w:r w:rsidRPr="007C7EF4">
          <w:rPr>
            <w:rFonts w:ascii="Verdana" w:eastAsia="Times New Roman" w:hAnsi="Verdana" w:cs="Arial"/>
            <w:noProof/>
            <w:lang w:val="es-ES_tradnl" w:eastAsia="es-ES"/>
          </w:rPr>
          <w:t>5.1.1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Activos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5</w:t>
        </w:r>
        <w:r w:rsidRPr="007C7EF4">
          <w:rPr>
            <w:rFonts w:ascii="Verdana" w:eastAsia="Times New Roman" w:hAnsi="Verdana" w:cs="Arial"/>
            <w:noProof/>
            <w:webHidden/>
            <w:lang w:val="es-ES" w:eastAsia="es-ES"/>
          </w:rPr>
          <w:fldChar w:fldCharType="end"/>
        </w:r>
      </w:hyperlink>
    </w:p>
    <w:p w14:paraId="41ED1D79"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3" w:history="1">
        <w:r w:rsidRPr="007C7EF4">
          <w:rPr>
            <w:rFonts w:ascii="Verdana" w:eastAsia="Times New Roman" w:hAnsi="Verdana" w:cs="Arial"/>
            <w:noProof/>
            <w:lang w:val="es-ES_tradnl" w:eastAsia="es-ES"/>
          </w:rPr>
          <w:t>5.1.2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Pasivos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6</w:t>
        </w:r>
        <w:r w:rsidRPr="007C7EF4">
          <w:rPr>
            <w:rFonts w:ascii="Verdana" w:eastAsia="Times New Roman" w:hAnsi="Verdana" w:cs="Arial"/>
            <w:noProof/>
            <w:webHidden/>
            <w:lang w:val="es-ES" w:eastAsia="es-ES"/>
          </w:rPr>
          <w:fldChar w:fldCharType="end"/>
        </w:r>
      </w:hyperlink>
    </w:p>
    <w:p w14:paraId="40907609"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4" w:history="1">
        <w:r w:rsidRPr="007C7EF4">
          <w:rPr>
            <w:rFonts w:ascii="Verdana" w:eastAsia="Times New Roman" w:hAnsi="Verdana" w:cs="Arial"/>
            <w:noProof/>
            <w:lang w:val="es-ES_tradnl" w:eastAsia="es-ES"/>
          </w:rPr>
          <w:t>5.1.3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Patrimonio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6</w:t>
        </w:r>
        <w:r w:rsidRPr="007C7EF4">
          <w:rPr>
            <w:rFonts w:ascii="Verdana" w:eastAsia="Times New Roman" w:hAnsi="Verdana" w:cs="Arial"/>
            <w:noProof/>
            <w:webHidden/>
            <w:lang w:val="es-ES" w:eastAsia="es-ES"/>
          </w:rPr>
          <w:fldChar w:fldCharType="end"/>
        </w:r>
      </w:hyperlink>
    </w:p>
    <w:p w14:paraId="010D1143"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5" w:history="1">
        <w:r w:rsidRPr="007C7EF4">
          <w:rPr>
            <w:rFonts w:ascii="Verdana" w:eastAsia="Times New Roman" w:hAnsi="Verdana" w:cs="Arial"/>
            <w:noProof/>
            <w:lang w:val="es-ES_tradnl" w:eastAsia="es-ES"/>
          </w:rPr>
          <w:t>5.1.4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Ingresos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7</w:t>
        </w:r>
        <w:r w:rsidRPr="007C7EF4">
          <w:rPr>
            <w:rFonts w:ascii="Verdana" w:eastAsia="Times New Roman" w:hAnsi="Verdana" w:cs="Arial"/>
            <w:noProof/>
            <w:webHidden/>
            <w:lang w:val="es-ES" w:eastAsia="es-ES"/>
          </w:rPr>
          <w:fldChar w:fldCharType="end"/>
        </w:r>
      </w:hyperlink>
    </w:p>
    <w:p w14:paraId="6D5BF095"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6" w:history="1">
        <w:r w:rsidRPr="007C7EF4">
          <w:rPr>
            <w:rFonts w:ascii="Verdana" w:eastAsia="Times New Roman" w:hAnsi="Verdana" w:cs="Arial"/>
            <w:noProof/>
            <w:lang w:val="es-ES_tradnl" w:eastAsia="es-ES"/>
          </w:rPr>
          <w:t>5.1.5</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Gastos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7</w:t>
        </w:r>
        <w:r w:rsidRPr="007C7EF4">
          <w:rPr>
            <w:rFonts w:ascii="Verdana" w:eastAsia="Times New Roman" w:hAnsi="Verdana" w:cs="Arial"/>
            <w:noProof/>
            <w:webHidden/>
            <w:lang w:val="es-ES" w:eastAsia="es-ES"/>
          </w:rPr>
          <w:fldChar w:fldCharType="end"/>
        </w:r>
      </w:hyperlink>
    </w:p>
    <w:p w14:paraId="7B297BA3"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197" w:history="1">
        <w:r w:rsidRPr="007C7EF4">
          <w:rPr>
            <w:rFonts w:ascii="Verdana" w:eastAsia="Times New Roman" w:hAnsi="Verdana" w:cs="Arial"/>
            <w:noProof/>
            <w:lang w:val="es-ES_tradnl" w:eastAsia="es-ES"/>
          </w:rPr>
          <w:t>5.2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RECONOCIMIENTO DE LOS ELEMENTOS EN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7</w:t>
        </w:r>
        <w:r w:rsidRPr="007C7EF4">
          <w:rPr>
            <w:rFonts w:ascii="Verdana" w:eastAsia="Times New Roman" w:hAnsi="Verdana" w:cs="Arial"/>
            <w:noProof/>
            <w:webHidden/>
            <w:lang w:val="es-ES" w:eastAsia="es-ES"/>
          </w:rPr>
          <w:fldChar w:fldCharType="end"/>
        </w:r>
      </w:hyperlink>
    </w:p>
    <w:p w14:paraId="01791D2C"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8" w:history="1">
        <w:r w:rsidRPr="007C7EF4">
          <w:rPr>
            <w:rFonts w:ascii="Verdana" w:eastAsia="Times New Roman" w:hAnsi="Verdana" w:cs="Arial"/>
            <w:noProof/>
            <w:lang w:val="es-ES_tradnl" w:eastAsia="es-ES"/>
          </w:rPr>
          <w:t>5.2.1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Reconocimiento de activos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8</w:t>
        </w:r>
        <w:r w:rsidRPr="007C7EF4">
          <w:rPr>
            <w:rFonts w:ascii="Verdana" w:eastAsia="Times New Roman" w:hAnsi="Verdana" w:cs="Arial"/>
            <w:noProof/>
            <w:webHidden/>
            <w:lang w:val="es-ES" w:eastAsia="es-ES"/>
          </w:rPr>
          <w:fldChar w:fldCharType="end"/>
        </w:r>
      </w:hyperlink>
    </w:p>
    <w:p w14:paraId="1E60C554"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199" w:history="1">
        <w:r w:rsidRPr="007C7EF4">
          <w:rPr>
            <w:rFonts w:ascii="Verdana" w:eastAsia="Times New Roman" w:hAnsi="Verdana" w:cs="Arial"/>
            <w:noProof/>
            <w:lang w:val="es-ES_tradnl" w:eastAsia="es-ES"/>
          </w:rPr>
          <w:t>5.2.2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Reconocimiento de pasivos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_Toc94710199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8</w:t>
        </w:r>
        <w:r w:rsidRPr="007C7EF4">
          <w:rPr>
            <w:rFonts w:ascii="Verdana" w:eastAsia="Times New Roman" w:hAnsi="Verdana" w:cs="Arial"/>
            <w:noProof/>
            <w:webHidden/>
            <w:lang w:val="es-ES" w:eastAsia="es-ES"/>
          </w:rPr>
          <w:fldChar w:fldCharType="end"/>
        </w:r>
      </w:hyperlink>
    </w:p>
    <w:p w14:paraId="017EDEAB"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0" w:history="1">
        <w:r w:rsidRPr="007C7EF4">
          <w:rPr>
            <w:rFonts w:ascii="Verdana" w:eastAsia="Times New Roman" w:hAnsi="Verdana" w:cs="Arial"/>
            <w:noProof/>
            <w:lang w:val="es-ES_tradnl" w:eastAsia="es-ES"/>
          </w:rPr>
          <w:t>5.2.3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Reconocimiento de ingresos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9</w:t>
        </w:r>
        <w:r w:rsidRPr="007C7EF4">
          <w:rPr>
            <w:rFonts w:ascii="Verdana" w:eastAsia="Times New Roman" w:hAnsi="Verdana" w:cs="Arial"/>
            <w:noProof/>
            <w:webHidden/>
            <w:lang w:val="es-ES" w:eastAsia="es-ES"/>
          </w:rPr>
          <w:fldChar w:fldCharType="end"/>
        </w:r>
      </w:hyperlink>
    </w:p>
    <w:p w14:paraId="7B30F91B"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1" w:history="1">
        <w:r w:rsidRPr="007C7EF4">
          <w:rPr>
            <w:rFonts w:ascii="Verdana" w:eastAsia="Times New Roman" w:hAnsi="Verdana" w:cs="Arial"/>
            <w:noProof/>
            <w:lang w:val="es-ES_tradnl" w:eastAsia="es-ES"/>
          </w:rPr>
          <w:t>5.2.4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Reconocimiento de gastos y costos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9</w:t>
        </w:r>
        <w:r w:rsidRPr="007C7EF4">
          <w:rPr>
            <w:rFonts w:ascii="Verdana" w:eastAsia="Times New Roman" w:hAnsi="Verdana" w:cs="Arial"/>
            <w:noProof/>
            <w:webHidden/>
            <w:lang w:val="es-ES" w:eastAsia="es-ES"/>
          </w:rPr>
          <w:fldChar w:fldCharType="end"/>
        </w:r>
      </w:hyperlink>
    </w:p>
    <w:p w14:paraId="20D1851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02" w:history="1">
        <w:r w:rsidRPr="007C7EF4">
          <w:rPr>
            <w:rFonts w:ascii="Verdana" w:eastAsia="Times New Roman" w:hAnsi="Verdana" w:cs="Arial"/>
            <w:noProof/>
            <w:lang w:val="es-ES_tradnl" w:eastAsia="es-ES"/>
          </w:rPr>
          <w:t>5.3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MEDICIÓN DE LOS ELEMENTOS EN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9</w:t>
        </w:r>
        <w:r w:rsidRPr="007C7EF4">
          <w:rPr>
            <w:rFonts w:ascii="Verdana" w:eastAsia="Times New Roman" w:hAnsi="Verdana" w:cs="Arial"/>
            <w:noProof/>
            <w:webHidden/>
            <w:lang w:val="es-ES" w:eastAsia="es-ES"/>
          </w:rPr>
          <w:fldChar w:fldCharType="end"/>
        </w:r>
      </w:hyperlink>
    </w:p>
    <w:p w14:paraId="20EBD64B"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3" w:history="1">
        <w:r w:rsidRPr="007C7EF4">
          <w:rPr>
            <w:rFonts w:ascii="Verdana" w:eastAsia="Times New Roman" w:hAnsi="Verdana" w:cs="Arial"/>
            <w:noProof/>
            <w:lang w:val="es-ES_tradnl" w:eastAsia="es-ES"/>
          </w:rPr>
          <w:t>5.3.1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Valores de entrada y de salida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10</w:t>
        </w:r>
        <w:r w:rsidRPr="007C7EF4">
          <w:rPr>
            <w:rFonts w:ascii="Verdana" w:eastAsia="Times New Roman" w:hAnsi="Verdana" w:cs="Arial"/>
            <w:noProof/>
            <w:webHidden/>
            <w:lang w:val="es-ES" w:eastAsia="es-ES"/>
          </w:rPr>
          <w:fldChar w:fldCharType="end"/>
        </w:r>
      </w:hyperlink>
    </w:p>
    <w:p w14:paraId="1288B64B"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4" w:history="1">
        <w:r w:rsidRPr="007C7EF4">
          <w:rPr>
            <w:rFonts w:ascii="Verdana" w:eastAsia="Times New Roman" w:hAnsi="Verdana" w:cs="Arial"/>
            <w:noProof/>
            <w:lang w:val="es-ES_tradnl" w:eastAsia="es-ES"/>
          </w:rPr>
          <w:t>5.3.2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Mediciones observables y no observables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10</w:t>
        </w:r>
        <w:r w:rsidRPr="007C7EF4">
          <w:rPr>
            <w:rFonts w:ascii="Verdana" w:eastAsia="Times New Roman" w:hAnsi="Verdana" w:cs="Arial"/>
            <w:noProof/>
            <w:webHidden/>
            <w:lang w:val="es-ES" w:eastAsia="es-ES"/>
          </w:rPr>
          <w:fldChar w:fldCharType="end"/>
        </w:r>
      </w:hyperlink>
    </w:p>
    <w:p w14:paraId="21C613D2"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5" w:history="1">
        <w:r w:rsidRPr="007C7EF4">
          <w:rPr>
            <w:rFonts w:ascii="Verdana" w:eastAsia="Times New Roman" w:hAnsi="Verdana" w:cs="Arial"/>
            <w:noProof/>
            <w:lang w:val="es-ES_tradnl" w:eastAsia="es-ES"/>
          </w:rPr>
          <w:t>5.3.3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Medición específica y no específica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10</w:t>
        </w:r>
        <w:r w:rsidRPr="007C7EF4">
          <w:rPr>
            <w:rFonts w:ascii="Verdana" w:eastAsia="Times New Roman" w:hAnsi="Verdana" w:cs="Arial"/>
            <w:noProof/>
            <w:webHidden/>
            <w:lang w:val="es-ES" w:eastAsia="es-ES"/>
          </w:rPr>
          <w:fldChar w:fldCharType="end"/>
        </w:r>
      </w:hyperlink>
    </w:p>
    <w:p w14:paraId="46F31816"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6" w:history="1">
        <w:r w:rsidRPr="007C7EF4">
          <w:rPr>
            <w:rFonts w:ascii="Verdana" w:eastAsia="Times New Roman" w:hAnsi="Verdana" w:cs="Arial"/>
            <w:noProof/>
            <w:lang w:val="es-ES_tradnl" w:eastAsia="es-ES"/>
          </w:rPr>
          <w:t>5.3.4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Medición de los activos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11</w:t>
        </w:r>
        <w:r w:rsidRPr="007C7EF4">
          <w:rPr>
            <w:rFonts w:ascii="Verdana" w:eastAsia="Times New Roman" w:hAnsi="Verdana" w:cs="Arial"/>
            <w:noProof/>
            <w:webHidden/>
            <w:lang w:val="es-ES" w:eastAsia="es-ES"/>
          </w:rPr>
          <w:fldChar w:fldCharType="end"/>
        </w:r>
      </w:hyperlink>
    </w:p>
    <w:p w14:paraId="76EFD1B1"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7" w:history="1">
        <w:r w:rsidRPr="007C7EF4">
          <w:rPr>
            <w:rFonts w:ascii="Verdana" w:eastAsia="Times New Roman" w:hAnsi="Verdana" w:cs="Arial"/>
            <w:noProof/>
            <w:lang w:val="es-ES_tradnl" w:eastAsia="es-ES"/>
          </w:rPr>
          <w:t>5.3.5</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Medición de los pasivos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13</w:t>
        </w:r>
        <w:r w:rsidRPr="007C7EF4">
          <w:rPr>
            <w:rFonts w:ascii="Verdana" w:eastAsia="Times New Roman" w:hAnsi="Verdana" w:cs="Arial"/>
            <w:noProof/>
            <w:webHidden/>
            <w:lang w:val="es-ES" w:eastAsia="es-ES"/>
          </w:rPr>
          <w:fldChar w:fldCharType="end"/>
        </w:r>
      </w:hyperlink>
    </w:p>
    <w:p w14:paraId="694C5B00"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08" w:history="1">
        <w:r w:rsidRPr="007C7EF4">
          <w:rPr>
            <w:rFonts w:ascii="Verdana" w:eastAsia="Times New Roman" w:hAnsi="Verdana" w:cs="Arial"/>
            <w:noProof/>
            <w:lang w:val="es-ES_tradnl" w:eastAsia="es-ES"/>
          </w:rPr>
          <w:t>5.4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REVELACIÓN DE LOS ELEMENTOS EN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15</w:t>
        </w:r>
        <w:r w:rsidRPr="007C7EF4">
          <w:rPr>
            <w:rFonts w:ascii="Verdana" w:eastAsia="Times New Roman" w:hAnsi="Verdana" w:cs="Arial"/>
            <w:noProof/>
            <w:webHidden/>
            <w:lang w:val="es-ES" w:eastAsia="es-ES"/>
          </w:rPr>
          <w:fldChar w:fldCharType="end"/>
        </w:r>
      </w:hyperlink>
    </w:p>
    <w:p w14:paraId="314BF7D3"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09" w:history="1">
        <w:r w:rsidRPr="007C7EF4">
          <w:rPr>
            <w:rFonts w:ascii="Verdana" w:eastAsia="Times New Roman" w:hAnsi="Verdana" w:cs="Arial"/>
            <w:noProof/>
            <w:lang w:val="es-ES_tradnl" w:eastAsia="es-ES"/>
          </w:rPr>
          <w:t>5.4.1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Selección de la información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_Toc94710209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15</w:t>
        </w:r>
        <w:r w:rsidRPr="007C7EF4">
          <w:rPr>
            <w:rFonts w:ascii="Verdana" w:eastAsia="Times New Roman" w:hAnsi="Verdana" w:cs="Arial"/>
            <w:noProof/>
            <w:webHidden/>
            <w:lang w:val="es-ES" w:eastAsia="es-ES"/>
          </w:rPr>
          <w:fldChar w:fldCharType="end"/>
        </w:r>
      </w:hyperlink>
    </w:p>
    <w:p w14:paraId="4A6F37E9"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10" w:history="1">
        <w:r w:rsidRPr="007C7EF4">
          <w:rPr>
            <w:rFonts w:ascii="Verdana" w:eastAsia="Times New Roman" w:hAnsi="Verdana" w:cs="Arial"/>
            <w:noProof/>
            <w:lang w:val="es-ES_tradnl" w:eastAsia="es-ES"/>
          </w:rPr>
          <w:t>5.4.2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Ubicación de la información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16</w:t>
        </w:r>
        <w:r w:rsidRPr="007C7EF4">
          <w:rPr>
            <w:rFonts w:ascii="Verdana" w:eastAsia="Times New Roman" w:hAnsi="Verdana" w:cs="Arial"/>
            <w:noProof/>
            <w:webHidden/>
            <w:lang w:val="es-ES" w:eastAsia="es-ES"/>
          </w:rPr>
          <w:fldChar w:fldCharType="end"/>
        </w:r>
      </w:hyperlink>
    </w:p>
    <w:p w14:paraId="27C0D2D1"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11" w:history="1">
        <w:r w:rsidRPr="007C7EF4">
          <w:rPr>
            <w:rFonts w:ascii="Verdana" w:eastAsia="Times New Roman" w:hAnsi="Verdana" w:cs="Arial"/>
            <w:noProof/>
            <w:lang w:val="es-ES_tradnl" w:eastAsia="es-ES"/>
          </w:rPr>
          <w:t>5.4.3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Organización de la información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16</w:t>
        </w:r>
        <w:r w:rsidRPr="007C7EF4">
          <w:rPr>
            <w:rFonts w:ascii="Verdana" w:eastAsia="Times New Roman" w:hAnsi="Verdana" w:cs="Arial"/>
            <w:noProof/>
            <w:webHidden/>
            <w:lang w:val="es-ES" w:eastAsia="es-ES"/>
          </w:rPr>
          <w:fldChar w:fldCharType="end"/>
        </w:r>
      </w:hyperlink>
    </w:p>
    <w:p w14:paraId="2B64685B"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12" w:history="1">
        <w:r w:rsidRPr="007C7EF4">
          <w:rPr>
            <w:rFonts w:ascii="Verdana" w:eastAsia="Times New Roman" w:hAnsi="Verdana" w:cs="Arial"/>
            <w:noProof/>
            <w:lang w:val="es-ES" w:eastAsia="es-ES"/>
          </w:rPr>
          <w:t>5.4.4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Control interno a las políticas contables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17</w:t>
        </w:r>
        <w:r w:rsidRPr="007C7EF4">
          <w:rPr>
            <w:rFonts w:ascii="Verdana" w:eastAsia="Times New Roman" w:hAnsi="Verdana" w:cs="Arial"/>
            <w:noProof/>
            <w:webHidden/>
            <w:lang w:val="es-ES" w:eastAsia="es-ES"/>
          </w:rPr>
          <w:fldChar w:fldCharType="end"/>
        </w:r>
      </w:hyperlink>
    </w:p>
    <w:p w14:paraId="46042906"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13" w:history="1">
        <w:r w:rsidRPr="007C7EF4">
          <w:rPr>
            <w:rFonts w:ascii="Verdana" w:eastAsia="Times New Roman" w:hAnsi="Verdana" w:cs="Arial"/>
            <w:bCs/>
            <w:noProof/>
            <w:kern w:val="28"/>
            <w:lang w:val="es-ES_tradnl" w:eastAsia="es-ES"/>
          </w:rPr>
          <w:t>5.5</w:t>
        </w:r>
        <w:r w:rsidRPr="007C7EF4">
          <w:rPr>
            <w:rFonts w:ascii="Verdana" w:eastAsia="Times New Roman" w:hAnsi="Verdana" w:cs="Arial"/>
            <w:noProof/>
            <w:lang w:eastAsia="es-CO"/>
          </w:rPr>
          <w:tab/>
        </w:r>
        <w:r w:rsidRPr="007C7EF4">
          <w:rPr>
            <w:rFonts w:ascii="Verdana" w:eastAsia="Times New Roman" w:hAnsi="Verdana" w:cs="Arial"/>
            <w:bCs/>
            <w:noProof/>
            <w:kern w:val="28"/>
            <w:lang w:val="es-ES_tradnl" w:eastAsia="es-ES"/>
          </w:rPr>
          <w:t>LISTA DE SIGLAS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17</w:t>
        </w:r>
        <w:r w:rsidRPr="007C7EF4">
          <w:rPr>
            <w:rFonts w:ascii="Verdana" w:eastAsia="Times New Roman" w:hAnsi="Verdana" w:cs="Arial"/>
            <w:noProof/>
            <w:webHidden/>
            <w:lang w:val="es-ES" w:eastAsia="es-ES"/>
          </w:rPr>
          <w:fldChar w:fldCharType="end"/>
        </w:r>
      </w:hyperlink>
    </w:p>
    <w:p w14:paraId="28A6AD56"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14" w:history="1">
        <w:r w:rsidRPr="007C7EF4">
          <w:rPr>
            <w:rFonts w:ascii="Verdana" w:eastAsia="Times New Roman" w:hAnsi="Verdana" w:cs="Arial"/>
            <w:b/>
            <w:noProof/>
            <w:lang w:val="es-ES_tradnl"/>
          </w:rPr>
          <w:t>6</w:t>
        </w:r>
        <w:r w:rsidRPr="007C7EF4">
          <w:rPr>
            <w:rFonts w:ascii="Verdana" w:eastAsia="Times New Roman" w:hAnsi="Verdana" w:cs="Arial"/>
            <w:noProof/>
            <w:lang w:eastAsia="es-CO"/>
          </w:rPr>
          <w:tab/>
        </w:r>
        <w:r w:rsidRPr="007C7EF4">
          <w:rPr>
            <w:rFonts w:ascii="Verdana" w:eastAsia="Times New Roman" w:hAnsi="Verdana" w:cs="Arial"/>
            <w:b/>
            <w:noProof/>
            <w:lang w:val="es-ES_tradnl"/>
          </w:rPr>
          <w:t>POLÍTICAS CONTABLES - ASPECTOS PRELIMINARES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_Toc94710214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17</w:t>
        </w:r>
        <w:r w:rsidRPr="007C7EF4">
          <w:rPr>
            <w:rFonts w:ascii="Verdana" w:eastAsia="Times New Roman" w:hAnsi="Verdana" w:cs="Arial"/>
            <w:b/>
            <w:noProof/>
            <w:webHidden/>
            <w:lang w:val="es-MX"/>
          </w:rPr>
          <w:fldChar w:fldCharType="end"/>
        </w:r>
      </w:hyperlink>
    </w:p>
    <w:p w14:paraId="1D549423"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15" w:history="1">
        <w:r w:rsidRPr="007C7EF4">
          <w:rPr>
            <w:rFonts w:ascii="Verdana" w:eastAsia="Times New Roman" w:hAnsi="Verdana" w:cs="Arial"/>
            <w:bCs/>
            <w:noProof/>
            <w:kern w:val="28"/>
            <w:lang w:val="es-ES_tradnl" w:eastAsia="es-ES"/>
          </w:rPr>
          <w:t>6.1</w:t>
        </w:r>
        <w:r w:rsidRPr="007C7EF4">
          <w:rPr>
            <w:rFonts w:ascii="Verdana" w:eastAsia="Times New Roman" w:hAnsi="Verdana" w:cs="Arial"/>
            <w:noProof/>
            <w:lang w:eastAsia="es-CO"/>
          </w:rPr>
          <w:tab/>
        </w:r>
        <w:r w:rsidRPr="007C7EF4">
          <w:rPr>
            <w:rFonts w:ascii="Verdana" w:eastAsia="Times New Roman" w:hAnsi="Verdana" w:cs="Arial"/>
            <w:bCs/>
            <w:noProof/>
            <w:kern w:val="28"/>
            <w:lang w:val="es-ES_tradnl" w:eastAsia="es-ES"/>
          </w:rPr>
          <w:t>NORMATIVIDAD</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17</w:t>
        </w:r>
        <w:r w:rsidRPr="007C7EF4">
          <w:rPr>
            <w:rFonts w:ascii="Verdana" w:eastAsia="Times New Roman" w:hAnsi="Verdana" w:cs="Arial"/>
            <w:noProof/>
            <w:webHidden/>
            <w:lang w:val="es-ES" w:eastAsia="es-ES"/>
          </w:rPr>
          <w:fldChar w:fldCharType="end"/>
        </w:r>
      </w:hyperlink>
    </w:p>
    <w:p w14:paraId="50C3B8AA"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16" w:history="1">
        <w:r w:rsidRPr="007C7EF4">
          <w:rPr>
            <w:rFonts w:ascii="Verdana" w:eastAsia="Times New Roman" w:hAnsi="Verdana" w:cs="Arial"/>
            <w:bCs/>
            <w:noProof/>
            <w:kern w:val="28"/>
            <w:lang w:val="es-ES_tradnl" w:eastAsia="es-ES"/>
          </w:rPr>
          <w:t>6.2</w:t>
        </w:r>
        <w:r w:rsidRPr="007C7EF4">
          <w:rPr>
            <w:rFonts w:ascii="Verdana" w:eastAsia="Times New Roman" w:hAnsi="Verdana" w:cs="Arial"/>
            <w:noProof/>
            <w:lang w:eastAsia="es-CO"/>
          </w:rPr>
          <w:tab/>
        </w:r>
        <w:r w:rsidRPr="007C7EF4">
          <w:rPr>
            <w:rFonts w:ascii="Verdana" w:eastAsia="Times New Roman" w:hAnsi="Verdana" w:cs="Arial"/>
            <w:bCs/>
            <w:noProof/>
            <w:kern w:val="28"/>
            <w:lang w:val="es-ES_tradnl" w:eastAsia="es-ES"/>
          </w:rPr>
          <w:t>GENERALIDADES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18</w:t>
        </w:r>
        <w:r w:rsidRPr="007C7EF4">
          <w:rPr>
            <w:rFonts w:ascii="Verdana" w:eastAsia="Times New Roman" w:hAnsi="Verdana" w:cs="Arial"/>
            <w:noProof/>
            <w:webHidden/>
            <w:lang w:val="es-ES" w:eastAsia="es-ES"/>
          </w:rPr>
          <w:fldChar w:fldCharType="end"/>
        </w:r>
      </w:hyperlink>
    </w:p>
    <w:p w14:paraId="7F902334"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17" w:history="1">
        <w:r w:rsidRPr="007C7EF4">
          <w:rPr>
            <w:rFonts w:ascii="Verdana" w:eastAsia="Times New Roman" w:hAnsi="Verdana" w:cs="Arial"/>
            <w:noProof/>
            <w:lang w:val="es-ES_tradnl" w:eastAsia="es-ES"/>
          </w:rPr>
          <w:t>6.2.1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Estructura organizacional y normatividad contable aplicable al sistema general de Regalías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18</w:t>
        </w:r>
        <w:r w:rsidRPr="007C7EF4">
          <w:rPr>
            <w:rFonts w:ascii="Verdana" w:eastAsia="Times New Roman" w:hAnsi="Verdana" w:cs="Arial"/>
            <w:noProof/>
            <w:webHidden/>
            <w:lang w:val="es-ES" w:eastAsia="es-ES"/>
          </w:rPr>
          <w:fldChar w:fldCharType="end"/>
        </w:r>
      </w:hyperlink>
    </w:p>
    <w:p w14:paraId="57A36CBD"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18" w:history="1">
        <w:r w:rsidRPr="007C7EF4">
          <w:rPr>
            <w:rFonts w:ascii="Verdana" w:eastAsia="Times New Roman" w:hAnsi="Verdana" w:cs="Arial"/>
            <w:noProof/>
            <w:lang w:val="es-ES_tradnl" w:eastAsia="es-ES"/>
          </w:rPr>
          <w:t>6.3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CONTROLES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20</w:t>
        </w:r>
        <w:r w:rsidRPr="007C7EF4">
          <w:rPr>
            <w:rFonts w:ascii="Verdana" w:eastAsia="Times New Roman" w:hAnsi="Verdana" w:cs="Arial"/>
            <w:noProof/>
            <w:webHidden/>
            <w:lang w:val="es-ES" w:eastAsia="es-ES"/>
          </w:rPr>
          <w:fldChar w:fldCharType="end"/>
        </w:r>
      </w:hyperlink>
    </w:p>
    <w:p w14:paraId="338F6966"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19" w:history="1">
        <w:r w:rsidRPr="007C7EF4">
          <w:rPr>
            <w:rFonts w:ascii="Verdana" w:eastAsia="Times New Roman" w:hAnsi="Verdana" w:cs="Arial"/>
            <w:noProof/>
            <w:lang w:val="es-ES_tradnl" w:eastAsia="es-ES"/>
          </w:rPr>
          <w:t>6.4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ESTRUCTURA DEL ÁREA CONTABLE Y GESTIÓN POR PROCESOS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_Toc94710219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21</w:t>
        </w:r>
        <w:r w:rsidRPr="007C7EF4">
          <w:rPr>
            <w:rFonts w:ascii="Verdana" w:eastAsia="Times New Roman" w:hAnsi="Verdana" w:cs="Arial"/>
            <w:noProof/>
            <w:webHidden/>
            <w:lang w:val="es-ES" w:eastAsia="es-ES"/>
          </w:rPr>
          <w:fldChar w:fldCharType="end"/>
        </w:r>
      </w:hyperlink>
    </w:p>
    <w:p w14:paraId="1FCB469F"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20" w:history="1">
        <w:r w:rsidRPr="007C7EF4">
          <w:rPr>
            <w:rFonts w:ascii="Verdana" w:eastAsia="Times New Roman" w:hAnsi="Verdana" w:cs="Arial"/>
            <w:noProof/>
            <w:lang w:val="es-ES_tradnl" w:eastAsia="es-ES"/>
          </w:rPr>
          <w:t>6.5</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SISTEMA DE PRESUPUESTO Y GIRO DE REGALÍAS - SPGR</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21</w:t>
        </w:r>
        <w:r w:rsidRPr="007C7EF4">
          <w:rPr>
            <w:rFonts w:ascii="Verdana" w:eastAsia="Times New Roman" w:hAnsi="Verdana" w:cs="Arial"/>
            <w:noProof/>
            <w:webHidden/>
            <w:lang w:val="es-ES" w:eastAsia="es-ES"/>
          </w:rPr>
          <w:fldChar w:fldCharType="end"/>
        </w:r>
      </w:hyperlink>
    </w:p>
    <w:p w14:paraId="54611010"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21" w:history="1">
        <w:r w:rsidRPr="007C7EF4">
          <w:rPr>
            <w:rFonts w:ascii="Verdana" w:eastAsia="Times New Roman" w:hAnsi="Verdana" w:cs="Arial"/>
            <w:noProof/>
            <w:lang w:val="es-ES_tradnl" w:eastAsia="es-ES"/>
          </w:rPr>
          <w:t>6.6</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REGISTRO OFICIAL DE LIBROS DE CONTABILIDAD, DOCUMENTOS SOPORTE Y CONSERVACIÓN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22</w:t>
        </w:r>
        <w:r w:rsidRPr="007C7EF4">
          <w:rPr>
            <w:rFonts w:ascii="Verdana" w:eastAsia="Times New Roman" w:hAnsi="Verdana" w:cs="Arial"/>
            <w:noProof/>
            <w:webHidden/>
            <w:lang w:val="es-ES" w:eastAsia="es-ES"/>
          </w:rPr>
          <w:fldChar w:fldCharType="end"/>
        </w:r>
      </w:hyperlink>
    </w:p>
    <w:p w14:paraId="2AB20889"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22" w:history="1">
        <w:r w:rsidRPr="007C7EF4">
          <w:rPr>
            <w:rFonts w:ascii="Verdana" w:eastAsia="Times New Roman" w:hAnsi="Verdana" w:cs="Arial"/>
            <w:noProof/>
            <w:lang w:val="es-ES" w:eastAsia="es-ES"/>
          </w:rPr>
          <w:t>6.6.1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Organización Contable en el sistema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22</w:t>
        </w:r>
        <w:r w:rsidRPr="007C7EF4">
          <w:rPr>
            <w:rFonts w:ascii="Verdana" w:eastAsia="Times New Roman" w:hAnsi="Verdana" w:cs="Arial"/>
            <w:noProof/>
            <w:webHidden/>
            <w:lang w:val="es-ES" w:eastAsia="es-ES"/>
          </w:rPr>
          <w:fldChar w:fldCharType="end"/>
        </w:r>
      </w:hyperlink>
    </w:p>
    <w:p w14:paraId="0AFE37A1"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23" w:history="1">
        <w:r w:rsidRPr="007C7EF4">
          <w:rPr>
            <w:rFonts w:ascii="Verdana" w:eastAsia="Times New Roman" w:hAnsi="Verdana" w:cs="Arial"/>
            <w:noProof/>
            <w:lang w:val="es-ES" w:eastAsia="es-ES"/>
          </w:rPr>
          <w:t>6.6.2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Soportes de Contabilidad</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22</w:t>
        </w:r>
        <w:r w:rsidRPr="007C7EF4">
          <w:rPr>
            <w:rFonts w:ascii="Verdana" w:eastAsia="Times New Roman" w:hAnsi="Verdana" w:cs="Arial"/>
            <w:noProof/>
            <w:webHidden/>
            <w:lang w:val="es-ES" w:eastAsia="es-ES"/>
          </w:rPr>
          <w:fldChar w:fldCharType="end"/>
        </w:r>
      </w:hyperlink>
    </w:p>
    <w:p w14:paraId="55A8D662"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24" w:history="1">
        <w:r w:rsidRPr="007C7EF4">
          <w:rPr>
            <w:rFonts w:ascii="Verdana" w:eastAsia="Times New Roman" w:hAnsi="Verdana" w:cs="Arial"/>
            <w:b/>
            <w:noProof/>
            <w:lang w:val="es-ES_tradnl"/>
          </w:rPr>
          <w:t>7</w:t>
        </w:r>
        <w:r w:rsidRPr="007C7EF4">
          <w:rPr>
            <w:rFonts w:ascii="Verdana" w:eastAsia="Times New Roman" w:hAnsi="Verdana" w:cs="Arial"/>
            <w:noProof/>
            <w:lang w:eastAsia="es-CO"/>
          </w:rPr>
          <w:tab/>
        </w:r>
        <w:r w:rsidRPr="007C7EF4">
          <w:rPr>
            <w:rFonts w:ascii="Verdana" w:eastAsia="Times New Roman" w:hAnsi="Verdana" w:cs="Arial"/>
            <w:b/>
            <w:noProof/>
            <w:lang w:val="es-ES_tradnl"/>
          </w:rPr>
          <w:t>MARCO CONCEPTUAL</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_Toc94710224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23</w:t>
        </w:r>
        <w:r w:rsidRPr="007C7EF4">
          <w:rPr>
            <w:rFonts w:ascii="Verdana" w:eastAsia="Times New Roman" w:hAnsi="Verdana" w:cs="Arial"/>
            <w:b/>
            <w:noProof/>
            <w:webHidden/>
            <w:lang w:val="es-MX"/>
          </w:rPr>
          <w:fldChar w:fldCharType="end"/>
        </w:r>
      </w:hyperlink>
    </w:p>
    <w:p w14:paraId="49353E9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25" w:history="1">
        <w:r w:rsidRPr="007C7EF4">
          <w:rPr>
            <w:rFonts w:ascii="Verdana" w:eastAsia="Times New Roman" w:hAnsi="Verdana" w:cs="Arial"/>
            <w:noProof/>
            <w:lang w:val="es-ES_tradnl" w:eastAsia="es-ES"/>
          </w:rPr>
          <w:t>7.1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USUARIOS DE LA INFORMACIÓN FINANCIERA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23</w:t>
        </w:r>
        <w:r w:rsidRPr="007C7EF4">
          <w:rPr>
            <w:rFonts w:ascii="Verdana" w:eastAsia="Times New Roman" w:hAnsi="Verdana" w:cs="Arial"/>
            <w:noProof/>
            <w:webHidden/>
            <w:lang w:val="es-ES" w:eastAsia="es-ES"/>
          </w:rPr>
          <w:fldChar w:fldCharType="end"/>
        </w:r>
      </w:hyperlink>
    </w:p>
    <w:p w14:paraId="1AAF5AFC"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27" w:history="1">
        <w:r w:rsidRPr="007C7EF4">
          <w:rPr>
            <w:rFonts w:ascii="Verdana" w:eastAsia="Times New Roman" w:hAnsi="Verdana" w:cs="Arial"/>
            <w:noProof/>
            <w:lang w:val="es-ES_tradnl" w:eastAsia="es-ES"/>
          </w:rPr>
          <w:t>7.2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OBJETIVOS DE LA INFORMACIÓN FINANCIERA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24</w:t>
        </w:r>
        <w:r w:rsidRPr="007C7EF4">
          <w:rPr>
            <w:rFonts w:ascii="Verdana" w:eastAsia="Times New Roman" w:hAnsi="Verdana" w:cs="Arial"/>
            <w:noProof/>
            <w:webHidden/>
            <w:lang w:val="es-ES" w:eastAsia="es-ES"/>
          </w:rPr>
          <w:fldChar w:fldCharType="end"/>
        </w:r>
      </w:hyperlink>
    </w:p>
    <w:p w14:paraId="5442427F"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28" w:history="1">
        <w:r w:rsidRPr="007C7EF4">
          <w:rPr>
            <w:rFonts w:ascii="Verdana" w:eastAsia="Times New Roman" w:hAnsi="Verdana" w:cs="Arial"/>
            <w:noProof/>
            <w:lang w:val="es-ES_tradnl" w:eastAsia="es-ES"/>
          </w:rPr>
          <w:t>7.3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CARACTERÍSTICAS CUALITATIVAS DE LA INFORMACIÓN FINANCIERA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25</w:t>
        </w:r>
        <w:r w:rsidRPr="007C7EF4">
          <w:rPr>
            <w:rFonts w:ascii="Verdana" w:eastAsia="Times New Roman" w:hAnsi="Verdana" w:cs="Arial"/>
            <w:noProof/>
            <w:webHidden/>
            <w:lang w:val="es-ES" w:eastAsia="es-ES"/>
          </w:rPr>
          <w:fldChar w:fldCharType="end"/>
        </w:r>
      </w:hyperlink>
    </w:p>
    <w:p w14:paraId="0CFDF0E2"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29" w:history="1">
        <w:r w:rsidRPr="007C7EF4">
          <w:rPr>
            <w:rFonts w:ascii="Verdana" w:eastAsia="Times New Roman" w:hAnsi="Verdana" w:cs="Arial"/>
            <w:noProof/>
            <w:lang w:val="es-ES_tradnl" w:eastAsia="es-ES"/>
          </w:rPr>
          <w:t>7.3.1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Características fundamentales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_Toc94710229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25</w:t>
        </w:r>
        <w:r w:rsidRPr="007C7EF4">
          <w:rPr>
            <w:rFonts w:ascii="Verdana" w:eastAsia="Times New Roman" w:hAnsi="Verdana" w:cs="Arial"/>
            <w:noProof/>
            <w:webHidden/>
            <w:lang w:val="es-ES" w:eastAsia="es-ES"/>
          </w:rPr>
          <w:fldChar w:fldCharType="end"/>
        </w:r>
      </w:hyperlink>
    </w:p>
    <w:p w14:paraId="050ED36A"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0" w:history="1">
        <w:r w:rsidRPr="007C7EF4">
          <w:rPr>
            <w:rFonts w:ascii="Verdana" w:eastAsia="Times New Roman" w:hAnsi="Verdana" w:cs="Arial"/>
            <w:noProof/>
            <w:lang w:val="es-ES_tradnl" w:eastAsia="es-ES"/>
          </w:rPr>
          <w:t>7.3.2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Características de Mejora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26</w:t>
        </w:r>
        <w:r w:rsidRPr="007C7EF4">
          <w:rPr>
            <w:rFonts w:ascii="Verdana" w:eastAsia="Times New Roman" w:hAnsi="Verdana" w:cs="Arial"/>
            <w:noProof/>
            <w:webHidden/>
            <w:lang w:val="es-ES" w:eastAsia="es-ES"/>
          </w:rPr>
          <w:fldChar w:fldCharType="end"/>
        </w:r>
      </w:hyperlink>
    </w:p>
    <w:p w14:paraId="24D13DA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31" w:history="1">
        <w:r w:rsidRPr="007C7EF4">
          <w:rPr>
            <w:rFonts w:ascii="Verdana" w:eastAsia="Times New Roman" w:hAnsi="Verdana" w:cs="Arial"/>
            <w:noProof/>
            <w:lang w:val="es-ES_tradnl" w:eastAsia="es-ES"/>
          </w:rPr>
          <w:t>7.4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PRINCIPIOS DE CONTABILIDAD PÚBLICA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28</w:t>
        </w:r>
        <w:r w:rsidRPr="007C7EF4">
          <w:rPr>
            <w:rFonts w:ascii="Verdana" w:eastAsia="Times New Roman" w:hAnsi="Verdana" w:cs="Arial"/>
            <w:noProof/>
            <w:webHidden/>
            <w:lang w:val="es-ES" w:eastAsia="es-ES"/>
          </w:rPr>
          <w:fldChar w:fldCharType="end"/>
        </w:r>
      </w:hyperlink>
    </w:p>
    <w:p w14:paraId="0A37400F"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2" w:history="1">
        <w:r w:rsidRPr="007C7EF4">
          <w:rPr>
            <w:rFonts w:ascii="Verdana" w:eastAsia="Times New Roman" w:hAnsi="Verdana" w:cs="Arial"/>
            <w:noProof/>
            <w:lang w:val="es-ES_tradnl" w:eastAsia="es-ES"/>
          </w:rPr>
          <w:t>7.4.1</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Entidad en marcha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28</w:t>
        </w:r>
        <w:r w:rsidRPr="007C7EF4">
          <w:rPr>
            <w:rFonts w:ascii="Verdana" w:eastAsia="Times New Roman" w:hAnsi="Verdana" w:cs="Arial"/>
            <w:noProof/>
            <w:webHidden/>
            <w:lang w:val="es-ES" w:eastAsia="es-ES"/>
          </w:rPr>
          <w:fldChar w:fldCharType="end"/>
        </w:r>
      </w:hyperlink>
    </w:p>
    <w:p w14:paraId="04A133C1"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3" w:history="1">
        <w:r w:rsidRPr="007C7EF4">
          <w:rPr>
            <w:rFonts w:ascii="Verdana" w:eastAsia="Times New Roman" w:hAnsi="Verdana" w:cs="Arial"/>
            <w:noProof/>
            <w:lang w:val="es-ES_tradnl" w:eastAsia="es-ES"/>
          </w:rPr>
          <w:t>7.4.2</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Devengo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28</w:t>
        </w:r>
        <w:r w:rsidRPr="007C7EF4">
          <w:rPr>
            <w:rFonts w:ascii="Verdana" w:eastAsia="Times New Roman" w:hAnsi="Verdana" w:cs="Arial"/>
            <w:noProof/>
            <w:webHidden/>
            <w:lang w:val="es-ES" w:eastAsia="es-ES"/>
          </w:rPr>
          <w:fldChar w:fldCharType="end"/>
        </w:r>
      </w:hyperlink>
    </w:p>
    <w:p w14:paraId="374B1E59"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4" w:history="1">
        <w:r w:rsidRPr="007C7EF4">
          <w:rPr>
            <w:rFonts w:ascii="Verdana" w:eastAsia="Times New Roman" w:hAnsi="Verdana" w:cs="Arial"/>
            <w:noProof/>
            <w:lang w:val="es-ES_tradnl" w:eastAsia="es-ES"/>
          </w:rPr>
          <w:t>7.4.3</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Esencia sobre forma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28</w:t>
        </w:r>
        <w:r w:rsidRPr="007C7EF4">
          <w:rPr>
            <w:rFonts w:ascii="Verdana" w:eastAsia="Times New Roman" w:hAnsi="Verdana" w:cs="Arial"/>
            <w:noProof/>
            <w:webHidden/>
            <w:lang w:val="es-ES" w:eastAsia="es-ES"/>
          </w:rPr>
          <w:fldChar w:fldCharType="end"/>
        </w:r>
      </w:hyperlink>
    </w:p>
    <w:p w14:paraId="57D80EC1"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5" w:history="1">
        <w:r w:rsidRPr="007C7EF4">
          <w:rPr>
            <w:rFonts w:ascii="Verdana" w:eastAsia="Times New Roman" w:hAnsi="Verdana" w:cs="Arial"/>
            <w:noProof/>
            <w:lang w:val="es-ES_tradnl" w:eastAsia="es-ES"/>
          </w:rPr>
          <w:t>7.4.4</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Asociación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29</w:t>
        </w:r>
        <w:r w:rsidRPr="007C7EF4">
          <w:rPr>
            <w:rFonts w:ascii="Verdana" w:eastAsia="Times New Roman" w:hAnsi="Verdana" w:cs="Arial"/>
            <w:noProof/>
            <w:webHidden/>
            <w:lang w:val="es-ES" w:eastAsia="es-ES"/>
          </w:rPr>
          <w:fldChar w:fldCharType="end"/>
        </w:r>
      </w:hyperlink>
    </w:p>
    <w:p w14:paraId="16BAD476"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6" w:history="1">
        <w:r w:rsidRPr="007C7EF4">
          <w:rPr>
            <w:rFonts w:ascii="Verdana" w:eastAsia="Times New Roman" w:hAnsi="Verdana" w:cs="Arial"/>
            <w:noProof/>
            <w:lang w:val="es-ES_tradnl" w:eastAsia="es-ES"/>
          </w:rPr>
          <w:t>7.4.5</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Uniformidad</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29</w:t>
        </w:r>
        <w:r w:rsidRPr="007C7EF4">
          <w:rPr>
            <w:rFonts w:ascii="Verdana" w:eastAsia="Times New Roman" w:hAnsi="Verdana" w:cs="Arial"/>
            <w:noProof/>
            <w:webHidden/>
            <w:lang w:val="es-ES" w:eastAsia="es-ES"/>
          </w:rPr>
          <w:fldChar w:fldCharType="end"/>
        </w:r>
      </w:hyperlink>
    </w:p>
    <w:p w14:paraId="18757E3F"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7" w:history="1">
        <w:r w:rsidRPr="007C7EF4">
          <w:rPr>
            <w:rFonts w:ascii="Verdana" w:eastAsia="Times New Roman" w:hAnsi="Verdana" w:cs="Arial"/>
            <w:noProof/>
            <w:lang w:val="es-ES_tradnl" w:eastAsia="es-ES"/>
          </w:rPr>
          <w:t>7.4.6</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No compensación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29</w:t>
        </w:r>
        <w:r w:rsidRPr="007C7EF4">
          <w:rPr>
            <w:rFonts w:ascii="Verdana" w:eastAsia="Times New Roman" w:hAnsi="Verdana" w:cs="Arial"/>
            <w:noProof/>
            <w:webHidden/>
            <w:lang w:val="es-ES" w:eastAsia="es-ES"/>
          </w:rPr>
          <w:fldChar w:fldCharType="end"/>
        </w:r>
      </w:hyperlink>
    </w:p>
    <w:p w14:paraId="6E790662"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38" w:history="1">
        <w:r w:rsidRPr="007C7EF4">
          <w:rPr>
            <w:rFonts w:ascii="Verdana" w:eastAsia="Times New Roman" w:hAnsi="Verdana" w:cs="Arial"/>
            <w:noProof/>
            <w:lang w:val="es-ES_tradnl" w:eastAsia="es-ES"/>
          </w:rPr>
          <w:t>7.4.7</w:t>
        </w:r>
        <w:r w:rsidRPr="007C7EF4">
          <w:rPr>
            <w:rFonts w:ascii="Verdana" w:eastAsia="Times New Roman" w:hAnsi="Verdana" w:cs="Arial"/>
            <w:noProof/>
            <w:lang w:eastAsia="es-CO"/>
          </w:rPr>
          <w:tab/>
        </w:r>
        <w:r w:rsidRPr="007C7EF4">
          <w:rPr>
            <w:rFonts w:ascii="Verdana" w:eastAsia="Times New Roman" w:hAnsi="Verdana" w:cs="Arial"/>
            <w:noProof/>
            <w:lang w:val="es-ES_tradnl" w:eastAsia="es-ES"/>
          </w:rPr>
          <w:t>Periodo contable</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_Toc94710238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29</w:t>
        </w:r>
        <w:r w:rsidRPr="007C7EF4">
          <w:rPr>
            <w:rFonts w:ascii="Verdana" w:eastAsia="Times New Roman" w:hAnsi="Verdana" w:cs="Arial"/>
            <w:noProof/>
            <w:webHidden/>
            <w:lang w:val="es-ES" w:eastAsia="es-ES"/>
          </w:rPr>
          <w:fldChar w:fldCharType="end"/>
        </w:r>
      </w:hyperlink>
    </w:p>
    <w:p w14:paraId="33F6D317"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39" w:history="1">
        <w:r w:rsidRPr="007C7EF4">
          <w:rPr>
            <w:rFonts w:ascii="Verdana" w:eastAsia="Times New Roman" w:hAnsi="Verdana" w:cs="Arial"/>
            <w:b/>
            <w:noProof/>
            <w:lang w:val="es-MX"/>
          </w:rPr>
          <w:t>8</w:t>
        </w:r>
        <w:r w:rsidRPr="007C7EF4">
          <w:rPr>
            <w:rFonts w:ascii="Verdana" w:eastAsia="Times New Roman" w:hAnsi="Verdana" w:cs="Arial"/>
            <w:noProof/>
            <w:lang w:eastAsia="es-CO"/>
          </w:rPr>
          <w:tab/>
        </w:r>
        <w:r w:rsidRPr="007C7EF4">
          <w:rPr>
            <w:rFonts w:ascii="Verdana" w:eastAsia="Times New Roman" w:hAnsi="Verdana" w:cs="Arial"/>
            <w:b/>
            <w:noProof/>
            <w:lang w:val="es-MX"/>
          </w:rPr>
          <w:t>PRESENTACIÓN DE LOS ESTADOS FINANCIEROS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_Toc94710239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29</w:t>
        </w:r>
        <w:r w:rsidRPr="007C7EF4">
          <w:rPr>
            <w:rFonts w:ascii="Verdana" w:eastAsia="Times New Roman" w:hAnsi="Verdana" w:cs="Arial"/>
            <w:b/>
            <w:noProof/>
            <w:webHidden/>
            <w:lang w:val="es-MX"/>
          </w:rPr>
          <w:fldChar w:fldCharType="end"/>
        </w:r>
      </w:hyperlink>
    </w:p>
    <w:p w14:paraId="1F0CEC01"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40" w:history="1">
        <w:r w:rsidRPr="007C7EF4">
          <w:rPr>
            <w:rFonts w:ascii="Verdana" w:eastAsia="Times New Roman" w:hAnsi="Verdana" w:cs="Arial"/>
            <w:noProof/>
            <w:lang w:val="es-ES" w:eastAsia="es-ES"/>
          </w:rPr>
          <w:t>8.1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FINALIDAD DE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29</w:t>
        </w:r>
        <w:r w:rsidRPr="007C7EF4">
          <w:rPr>
            <w:rFonts w:ascii="Verdana" w:eastAsia="Times New Roman" w:hAnsi="Verdana" w:cs="Arial"/>
            <w:noProof/>
            <w:webHidden/>
            <w:lang w:val="es-ES" w:eastAsia="es-ES"/>
          </w:rPr>
          <w:fldChar w:fldCharType="end"/>
        </w:r>
      </w:hyperlink>
    </w:p>
    <w:p w14:paraId="4DC6A340"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41" w:history="1">
        <w:r w:rsidRPr="007C7EF4">
          <w:rPr>
            <w:rFonts w:ascii="Verdana" w:eastAsia="Times New Roman" w:hAnsi="Verdana" w:cs="Arial"/>
            <w:noProof/>
            <w:lang w:val="es-ES" w:eastAsia="es-ES"/>
          </w:rPr>
          <w:t>8.2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CONJUNTO COMPLETO DE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30</w:t>
        </w:r>
        <w:r w:rsidRPr="007C7EF4">
          <w:rPr>
            <w:rFonts w:ascii="Verdana" w:eastAsia="Times New Roman" w:hAnsi="Verdana" w:cs="Arial"/>
            <w:noProof/>
            <w:webHidden/>
            <w:lang w:val="es-ES" w:eastAsia="es-ES"/>
          </w:rPr>
          <w:fldChar w:fldCharType="end"/>
        </w:r>
      </w:hyperlink>
    </w:p>
    <w:p w14:paraId="5871B3A0"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42" w:history="1">
        <w:r w:rsidRPr="007C7EF4">
          <w:rPr>
            <w:rFonts w:ascii="Verdana" w:eastAsia="Times New Roman" w:hAnsi="Verdana" w:cs="Arial"/>
            <w:noProof/>
            <w:lang w:val="es-ES" w:eastAsia="es-ES"/>
          </w:rPr>
          <w:t>8.3</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ESTRUCTURA Y CONTENIDO DE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30</w:t>
        </w:r>
        <w:r w:rsidRPr="007C7EF4">
          <w:rPr>
            <w:rFonts w:ascii="Verdana" w:eastAsia="Times New Roman" w:hAnsi="Verdana" w:cs="Arial"/>
            <w:noProof/>
            <w:webHidden/>
            <w:lang w:val="es-ES" w:eastAsia="es-ES"/>
          </w:rPr>
          <w:fldChar w:fldCharType="end"/>
        </w:r>
      </w:hyperlink>
    </w:p>
    <w:p w14:paraId="1D04F81D"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3" w:history="1">
        <w:r w:rsidRPr="007C7EF4">
          <w:rPr>
            <w:rFonts w:ascii="Verdana" w:eastAsia="Times New Roman" w:hAnsi="Verdana" w:cs="Arial"/>
            <w:noProof/>
            <w:lang w:val="es-ES" w:eastAsia="es-ES"/>
          </w:rPr>
          <w:t>8.3.1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Identificación de los estados financieros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30</w:t>
        </w:r>
        <w:r w:rsidRPr="007C7EF4">
          <w:rPr>
            <w:rFonts w:ascii="Verdana" w:eastAsia="Times New Roman" w:hAnsi="Verdana" w:cs="Arial"/>
            <w:noProof/>
            <w:webHidden/>
            <w:lang w:val="es-ES" w:eastAsia="es-ES"/>
          </w:rPr>
          <w:fldChar w:fldCharType="end"/>
        </w:r>
      </w:hyperlink>
    </w:p>
    <w:p w14:paraId="62AF3518"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4" w:history="1">
        <w:r w:rsidRPr="007C7EF4">
          <w:rPr>
            <w:rFonts w:ascii="Verdana" w:eastAsia="Times New Roman" w:hAnsi="Verdana" w:cs="Arial"/>
            <w:noProof/>
            <w:lang w:val="es-ES" w:eastAsia="es-ES"/>
          </w:rPr>
          <w:t>8.3.2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Estado de situación financiera</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30</w:t>
        </w:r>
        <w:r w:rsidRPr="007C7EF4">
          <w:rPr>
            <w:rFonts w:ascii="Verdana" w:eastAsia="Times New Roman" w:hAnsi="Verdana" w:cs="Arial"/>
            <w:noProof/>
            <w:webHidden/>
            <w:lang w:val="es-ES" w:eastAsia="es-ES"/>
          </w:rPr>
          <w:fldChar w:fldCharType="end"/>
        </w:r>
      </w:hyperlink>
    </w:p>
    <w:p w14:paraId="7694BB46"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5" w:history="1">
        <w:r w:rsidRPr="007C7EF4">
          <w:rPr>
            <w:rFonts w:ascii="Verdana" w:eastAsia="Times New Roman" w:hAnsi="Verdana" w:cs="Arial"/>
            <w:noProof/>
            <w:lang w:val="es-ES" w:eastAsia="es-ES"/>
          </w:rPr>
          <w:t>8.3.3</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Estado de resultados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31</w:t>
        </w:r>
        <w:r w:rsidRPr="007C7EF4">
          <w:rPr>
            <w:rFonts w:ascii="Verdana" w:eastAsia="Times New Roman" w:hAnsi="Verdana" w:cs="Arial"/>
            <w:noProof/>
            <w:webHidden/>
            <w:lang w:val="es-ES" w:eastAsia="es-ES"/>
          </w:rPr>
          <w:fldChar w:fldCharType="end"/>
        </w:r>
      </w:hyperlink>
    </w:p>
    <w:p w14:paraId="42E1594D"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6" w:history="1">
        <w:r w:rsidRPr="007C7EF4">
          <w:rPr>
            <w:rFonts w:ascii="Verdana" w:eastAsia="Times New Roman" w:hAnsi="Verdana" w:cs="Arial"/>
            <w:noProof/>
            <w:lang w:val="es-ES" w:eastAsia="es-ES"/>
          </w:rPr>
          <w:t>8.3.4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Estado de cambios en el patrimonio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31</w:t>
        </w:r>
        <w:r w:rsidRPr="007C7EF4">
          <w:rPr>
            <w:rFonts w:ascii="Verdana" w:eastAsia="Times New Roman" w:hAnsi="Verdana" w:cs="Arial"/>
            <w:noProof/>
            <w:webHidden/>
            <w:lang w:val="es-ES" w:eastAsia="es-ES"/>
          </w:rPr>
          <w:fldChar w:fldCharType="end"/>
        </w:r>
      </w:hyperlink>
    </w:p>
    <w:p w14:paraId="5A2BB5F7"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7" w:history="1">
        <w:r w:rsidRPr="007C7EF4">
          <w:rPr>
            <w:rFonts w:ascii="Verdana" w:eastAsia="Times New Roman" w:hAnsi="Verdana" w:cs="Arial"/>
            <w:noProof/>
            <w:lang w:val="es-ES" w:eastAsia="es-ES"/>
          </w:rPr>
          <w:t>8.3.5</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Estado de flujo de efectivo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31</w:t>
        </w:r>
        <w:r w:rsidRPr="007C7EF4">
          <w:rPr>
            <w:rFonts w:ascii="Verdana" w:eastAsia="Times New Roman" w:hAnsi="Verdana" w:cs="Arial"/>
            <w:noProof/>
            <w:webHidden/>
            <w:lang w:val="es-ES" w:eastAsia="es-ES"/>
          </w:rPr>
          <w:fldChar w:fldCharType="end"/>
        </w:r>
      </w:hyperlink>
    </w:p>
    <w:p w14:paraId="59F09A26"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48" w:history="1">
        <w:r w:rsidRPr="007C7EF4">
          <w:rPr>
            <w:rFonts w:ascii="Verdana" w:eastAsia="Times New Roman" w:hAnsi="Verdana" w:cs="Arial"/>
            <w:noProof/>
            <w:lang w:val="es-ES" w:eastAsia="es-ES"/>
          </w:rPr>
          <w:t>8.3.6</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Notas a los estados financieros o revelaciones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31</w:t>
        </w:r>
        <w:r w:rsidRPr="007C7EF4">
          <w:rPr>
            <w:rFonts w:ascii="Verdana" w:eastAsia="Times New Roman" w:hAnsi="Verdana" w:cs="Arial"/>
            <w:noProof/>
            <w:webHidden/>
            <w:lang w:val="es-ES" w:eastAsia="es-ES"/>
          </w:rPr>
          <w:fldChar w:fldCharType="end"/>
        </w:r>
      </w:hyperlink>
    </w:p>
    <w:p w14:paraId="7E568056"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49" w:history="1">
        <w:r w:rsidRPr="007C7EF4">
          <w:rPr>
            <w:rFonts w:ascii="Verdana" w:eastAsia="Times New Roman" w:hAnsi="Verdana" w:cs="Arial"/>
            <w:noProof/>
            <w:lang w:val="es-ES" w:eastAsia="es-ES"/>
          </w:rPr>
          <w:t>8.4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INFORMACIÓN PARA REVELAR</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_Toc94710249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31</w:t>
        </w:r>
        <w:r w:rsidRPr="007C7EF4">
          <w:rPr>
            <w:rFonts w:ascii="Verdana" w:eastAsia="Times New Roman" w:hAnsi="Verdana" w:cs="Arial"/>
            <w:noProof/>
            <w:webHidden/>
            <w:lang w:val="es-ES" w:eastAsia="es-ES"/>
          </w:rPr>
          <w:fldChar w:fldCharType="end"/>
        </w:r>
      </w:hyperlink>
    </w:p>
    <w:p w14:paraId="57866FF5"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0" w:history="1">
        <w:r w:rsidRPr="007C7EF4">
          <w:rPr>
            <w:rFonts w:ascii="Verdana" w:eastAsia="Times New Roman" w:hAnsi="Verdana" w:cs="Arial"/>
            <w:noProof/>
            <w:lang w:val="es-ES" w:eastAsia="es-ES"/>
          </w:rPr>
          <w:t>8.5</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CONTROLES APLICABLES A LA ELABORACIÓN DE LOS ESTADOS CONTABLES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32</w:t>
        </w:r>
        <w:r w:rsidRPr="007C7EF4">
          <w:rPr>
            <w:rFonts w:ascii="Verdana" w:eastAsia="Times New Roman" w:hAnsi="Verdana" w:cs="Arial"/>
            <w:noProof/>
            <w:webHidden/>
            <w:lang w:val="es-ES" w:eastAsia="es-ES"/>
          </w:rPr>
          <w:fldChar w:fldCharType="end"/>
        </w:r>
      </w:hyperlink>
    </w:p>
    <w:p w14:paraId="5B81E8A3"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51" w:history="1">
        <w:r w:rsidRPr="007C7EF4">
          <w:rPr>
            <w:rFonts w:ascii="Verdana" w:eastAsia="Times New Roman" w:hAnsi="Verdana" w:cs="Arial"/>
            <w:noProof/>
            <w:lang w:val="es-ES" w:eastAsia="es-ES"/>
          </w:rPr>
          <w:t>8.5.1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Solicitudes a las áreas y organismos externos para el suministro oportuno de</w:t>
        </w:r>
        <w:r w:rsidRPr="007C7EF4">
          <w:rPr>
            <w:rFonts w:ascii="Verdana" w:eastAsia="Times New Roman" w:hAnsi="Verdana" w:cs="Arial"/>
            <w:noProof/>
            <w:spacing w:val="-3"/>
            <w:lang w:val="es-ES" w:eastAsia="es-ES"/>
          </w:rPr>
          <w:t xml:space="preserve"> </w:t>
        </w:r>
        <w:r w:rsidRPr="007C7EF4">
          <w:rPr>
            <w:rFonts w:ascii="Verdana" w:eastAsia="Times New Roman" w:hAnsi="Verdana" w:cs="Arial"/>
            <w:noProof/>
            <w:lang w:val="es-ES" w:eastAsia="es-ES"/>
          </w:rPr>
          <w:t>información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_Toc94710251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32</w:t>
        </w:r>
        <w:r w:rsidRPr="007C7EF4">
          <w:rPr>
            <w:rFonts w:ascii="Verdana" w:eastAsia="Times New Roman" w:hAnsi="Verdana" w:cs="Arial"/>
            <w:noProof/>
            <w:webHidden/>
            <w:lang w:val="es-ES" w:eastAsia="es-ES"/>
          </w:rPr>
          <w:fldChar w:fldCharType="end"/>
        </w:r>
      </w:hyperlink>
    </w:p>
    <w:p w14:paraId="21C69EDE" w14:textId="77777777" w:rsidR="007C7EF4" w:rsidRPr="007C7EF4" w:rsidRDefault="007C7EF4" w:rsidP="007C7EF4">
      <w:pPr>
        <w:tabs>
          <w:tab w:val="left" w:pos="1200"/>
          <w:tab w:val="right" w:leader="dot" w:pos="8828"/>
        </w:tabs>
        <w:spacing w:after="0" w:line="240" w:lineRule="auto"/>
        <w:ind w:left="400"/>
        <w:jc w:val="both"/>
        <w:rPr>
          <w:rFonts w:ascii="Verdana" w:eastAsia="Times New Roman" w:hAnsi="Verdana" w:cs="Arial"/>
          <w:noProof/>
          <w:lang w:eastAsia="es-CO"/>
        </w:rPr>
      </w:pPr>
      <w:hyperlink w:anchor="_Toc94710252" w:history="1">
        <w:r w:rsidRPr="007C7EF4">
          <w:rPr>
            <w:rFonts w:ascii="Verdana" w:eastAsia="Times New Roman" w:hAnsi="Verdana" w:cs="Arial"/>
            <w:noProof/>
            <w:lang w:val="es-ES" w:eastAsia="es-ES"/>
          </w:rPr>
          <w:t>8.5.2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Cierre Contable</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32</w:t>
        </w:r>
        <w:r w:rsidRPr="007C7EF4">
          <w:rPr>
            <w:rFonts w:ascii="Verdana" w:eastAsia="Times New Roman" w:hAnsi="Verdana" w:cs="Arial"/>
            <w:noProof/>
            <w:webHidden/>
            <w:lang w:val="es-ES" w:eastAsia="es-ES"/>
          </w:rPr>
          <w:fldChar w:fldCharType="end"/>
        </w:r>
      </w:hyperlink>
    </w:p>
    <w:p w14:paraId="5BC96278"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53" w:history="1">
        <w:r w:rsidRPr="007C7EF4">
          <w:rPr>
            <w:rFonts w:ascii="Verdana" w:eastAsia="Times New Roman" w:hAnsi="Verdana" w:cs="Arial"/>
            <w:b/>
            <w:noProof/>
            <w:lang w:val="es-MX"/>
          </w:rPr>
          <w:t>9</w:t>
        </w:r>
        <w:r w:rsidRPr="007C7EF4">
          <w:rPr>
            <w:rFonts w:ascii="Verdana" w:eastAsia="Times New Roman" w:hAnsi="Verdana" w:cs="Arial"/>
            <w:noProof/>
            <w:lang w:eastAsia="es-CO"/>
          </w:rPr>
          <w:tab/>
        </w:r>
        <w:r w:rsidRPr="007C7EF4">
          <w:rPr>
            <w:rFonts w:ascii="Verdana" w:eastAsia="Times New Roman" w:hAnsi="Verdana" w:cs="Arial"/>
            <w:b/>
            <w:noProof/>
            <w:lang w:val="es-MX"/>
          </w:rPr>
          <w:t>CONCILIACIÓN OPERACIONES RECIPROCAS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_Toc94710253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33</w:t>
        </w:r>
        <w:r w:rsidRPr="007C7EF4">
          <w:rPr>
            <w:rFonts w:ascii="Verdana" w:eastAsia="Times New Roman" w:hAnsi="Verdana" w:cs="Arial"/>
            <w:b/>
            <w:noProof/>
            <w:webHidden/>
            <w:lang w:val="es-MX"/>
          </w:rPr>
          <w:fldChar w:fldCharType="end"/>
        </w:r>
      </w:hyperlink>
    </w:p>
    <w:p w14:paraId="57D37BCB"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54" w:history="1">
        <w:r w:rsidRPr="007C7EF4">
          <w:rPr>
            <w:rFonts w:ascii="Verdana" w:eastAsia="Times New Roman" w:hAnsi="Verdana" w:cs="Arial"/>
            <w:b/>
            <w:noProof/>
            <w:lang w:val="es-ES_tradnl"/>
          </w:rPr>
          <w:t>10</w:t>
        </w:r>
        <w:r w:rsidRPr="007C7EF4">
          <w:rPr>
            <w:rFonts w:ascii="Verdana" w:eastAsia="Times New Roman" w:hAnsi="Verdana" w:cs="Arial"/>
            <w:noProof/>
            <w:lang w:eastAsia="es-CO"/>
          </w:rPr>
          <w:tab/>
        </w:r>
        <w:r w:rsidRPr="007C7EF4">
          <w:rPr>
            <w:rFonts w:ascii="Verdana" w:eastAsia="Times New Roman" w:hAnsi="Verdana" w:cs="Arial"/>
            <w:b/>
            <w:noProof/>
            <w:lang w:val="es-ES_tradnl"/>
          </w:rPr>
          <w:t>TRANSMISION Y PUBLICACION DE LOS ESTADOS CONTABLES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_Toc94710254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33</w:t>
        </w:r>
        <w:r w:rsidRPr="007C7EF4">
          <w:rPr>
            <w:rFonts w:ascii="Verdana" w:eastAsia="Times New Roman" w:hAnsi="Verdana" w:cs="Arial"/>
            <w:b/>
            <w:noProof/>
            <w:webHidden/>
            <w:lang w:val="es-MX"/>
          </w:rPr>
          <w:fldChar w:fldCharType="end"/>
        </w:r>
      </w:hyperlink>
    </w:p>
    <w:p w14:paraId="674111A8"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5" w:history="1">
        <w:r w:rsidRPr="007C7EF4">
          <w:rPr>
            <w:rFonts w:ascii="Verdana" w:eastAsia="Times New Roman" w:hAnsi="Verdana" w:cs="Arial"/>
            <w:noProof/>
            <w:lang w:val="es-ES" w:eastAsia="es-ES"/>
          </w:rPr>
          <w:t>10.1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REPORTES FORMULARIOS CONTABLES REPORTADOS AL</w:t>
        </w:r>
        <w:r w:rsidRPr="007C7EF4">
          <w:rPr>
            <w:rFonts w:ascii="Verdana" w:eastAsia="Times New Roman" w:hAnsi="Verdana" w:cs="Arial"/>
            <w:noProof/>
            <w:spacing w:val="-1"/>
            <w:lang w:val="es-ES" w:eastAsia="es-ES"/>
          </w:rPr>
          <w:t xml:space="preserve"> </w:t>
        </w:r>
        <w:r w:rsidRPr="007C7EF4">
          <w:rPr>
            <w:rFonts w:ascii="Verdana" w:eastAsia="Times New Roman" w:hAnsi="Verdana" w:cs="Arial"/>
            <w:noProof/>
            <w:lang w:val="es-ES" w:eastAsia="es-ES"/>
          </w:rPr>
          <w:t>CHIP</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33</w:t>
        </w:r>
        <w:r w:rsidRPr="007C7EF4">
          <w:rPr>
            <w:rFonts w:ascii="Verdana" w:eastAsia="Times New Roman" w:hAnsi="Verdana" w:cs="Arial"/>
            <w:noProof/>
            <w:webHidden/>
            <w:lang w:val="es-ES" w:eastAsia="es-ES"/>
          </w:rPr>
          <w:fldChar w:fldCharType="end"/>
        </w:r>
      </w:hyperlink>
    </w:p>
    <w:p w14:paraId="464F3DFC"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6" w:history="1">
        <w:r w:rsidRPr="007C7EF4">
          <w:rPr>
            <w:rFonts w:ascii="Verdana" w:eastAsia="Times New Roman" w:hAnsi="Verdana" w:cs="Arial"/>
            <w:noProof/>
            <w:lang w:val="es-ES" w:eastAsia="es-ES"/>
          </w:rPr>
          <w:t>10.2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CGN2015_001_SALDOS_Y_MOVIMIENTOS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33</w:t>
        </w:r>
        <w:r w:rsidRPr="007C7EF4">
          <w:rPr>
            <w:rFonts w:ascii="Verdana" w:eastAsia="Times New Roman" w:hAnsi="Verdana" w:cs="Arial"/>
            <w:noProof/>
            <w:webHidden/>
            <w:lang w:val="es-ES" w:eastAsia="es-ES"/>
          </w:rPr>
          <w:fldChar w:fldCharType="end"/>
        </w:r>
      </w:hyperlink>
    </w:p>
    <w:p w14:paraId="6909D23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7" w:history="1">
        <w:r w:rsidRPr="007C7EF4">
          <w:rPr>
            <w:rFonts w:ascii="Verdana" w:eastAsia="Times New Roman" w:hAnsi="Verdana" w:cs="Arial"/>
            <w:noProof/>
            <w:lang w:val="es-ES" w:eastAsia="es-ES"/>
          </w:rPr>
          <w:t>10.3</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CGN2015_002_OPERACIONES_RECIPROCAS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34</w:t>
        </w:r>
        <w:r w:rsidRPr="007C7EF4">
          <w:rPr>
            <w:rFonts w:ascii="Verdana" w:eastAsia="Times New Roman" w:hAnsi="Verdana" w:cs="Arial"/>
            <w:noProof/>
            <w:webHidden/>
            <w:lang w:val="es-ES" w:eastAsia="es-ES"/>
          </w:rPr>
          <w:fldChar w:fldCharType="end"/>
        </w:r>
      </w:hyperlink>
    </w:p>
    <w:p w14:paraId="38D2C134"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8" w:history="1">
        <w:r w:rsidRPr="007C7EF4">
          <w:rPr>
            <w:rFonts w:ascii="Verdana" w:eastAsia="Times New Roman" w:hAnsi="Verdana" w:cs="Arial"/>
            <w:noProof/>
            <w:lang w:val="es-ES" w:eastAsia="es-ES"/>
          </w:rPr>
          <w:t>10.4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CGN2016C01_VARIACIONES_TRIMESTRALES_SIGNIFICATIVAS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34</w:t>
        </w:r>
        <w:r w:rsidRPr="007C7EF4">
          <w:rPr>
            <w:rFonts w:ascii="Verdana" w:eastAsia="Times New Roman" w:hAnsi="Verdana" w:cs="Arial"/>
            <w:noProof/>
            <w:webHidden/>
            <w:lang w:val="es-ES" w:eastAsia="es-ES"/>
          </w:rPr>
          <w:fldChar w:fldCharType="end"/>
        </w:r>
      </w:hyperlink>
    </w:p>
    <w:p w14:paraId="084AC255"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59" w:history="1">
        <w:r w:rsidRPr="007C7EF4">
          <w:rPr>
            <w:rFonts w:ascii="Verdana" w:eastAsia="Times New Roman" w:hAnsi="Verdana" w:cs="Arial"/>
            <w:noProof/>
            <w:lang w:val="es-ES" w:eastAsia="es-ES"/>
          </w:rPr>
          <w:t>10.5</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PUBLICACIÓN DE ESTADOS, INFORMES Y REPORTES CONTABLES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_Toc94710259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34</w:t>
        </w:r>
        <w:r w:rsidRPr="007C7EF4">
          <w:rPr>
            <w:rFonts w:ascii="Verdana" w:eastAsia="Times New Roman" w:hAnsi="Verdana" w:cs="Arial"/>
            <w:noProof/>
            <w:webHidden/>
            <w:lang w:val="es-ES" w:eastAsia="es-ES"/>
          </w:rPr>
          <w:fldChar w:fldCharType="end"/>
        </w:r>
      </w:hyperlink>
    </w:p>
    <w:p w14:paraId="370DF392"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0" w:history="1">
        <w:r w:rsidRPr="007C7EF4">
          <w:rPr>
            <w:rFonts w:ascii="Verdana" w:eastAsia="Calibri" w:hAnsi="Verdana" w:cs="Arial"/>
            <w:noProof/>
          </w:rPr>
          <w:t>10.6</w:t>
        </w:r>
        <w:r w:rsidRPr="007C7EF4">
          <w:rPr>
            <w:rFonts w:ascii="Verdana" w:eastAsia="Times New Roman" w:hAnsi="Verdana" w:cs="Arial"/>
            <w:noProof/>
            <w:lang w:eastAsia="es-CO"/>
          </w:rPr>
          <w:tab/>
        </w:r>
        <w:r w:rsidRPr="007C7EF4">
          <w:rPr>
            <w:rFonts w:ascii="Verdana" w:eastAsia="Calibri" w:hAnsi="Verdana" w:cs="Arial"/>
            <w:noProof/>
          </w:rPr>
          <w:t>CONCILIACIÓN CHIP SPGR</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34</w:t>
        </w:r>
        <w:r w:rsidRPr="007C7EF4">
          <w:rPr>
            <w:rFonts w:ascii="Verdana" w:eastAsia="Times New Roman" w:hAnsi="Verdana" w:cs="Arial"/>
            <w:noProof/>
            <w:webHidden/>
            <w:lang w:val="es-ES" w:eastAsia="es-ES"/>
          </w:rPr>
          <w:fldChar w:fldCharType="end"/>
        </w:r>
      </w:hyperlink>
    </w:p>
    <w:p w14:paraId="2D4606D3"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61" w:history="1">
        <w:r w:rsidRPr="007C7EF4">
          <w:rPr>
            <w:rFonts w:ascii="Verdana" w:eastAsia="Calibri" w:hAnsi="Verdana" w:cs="Arial"/>
            <w:b/>
            <w:noProof/>
          </w:rPr>
          <w:t>11</w:t>
        </w:r>
        <w:r w:rsidRPr="007C7EF4">
          <w:rPr>
            <w:rFonts w:ascii="Verdana" w:eastAsia="Times New Roman" w:hAnsi="Verdana" w:cs="Arial"/>
            <w:noProof/>
            <w:lang w:eastAsia="es-CO"/>
          </w:rPr>
          <w:tab/>
        </w:r>
        <w:r w:rsidRPr="007C7EF4">
          <w:rPr>
            <w:rFonts w:ascii="Verdana" w:eastAsia="Calibri" w:hAnsi="Verdana" w:cs="Arial"/>
            <w:b/>
            <w:noProof/>
          </w:rPr>
          <w:t>SOSTENIBILIDAD CONTABLE DEL SISTEMA GENERAL DE REGALIAS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_Toc94710261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34</w:t>
        </w:r>
        <w:r w:rsidRPr="007C7EF4">
          <w:rPr>
            <w:rFonts w:ascii="Verdana" w:eastAsia="Times New Roman" w:hAnsi="Verdana" w:cs="Arial"/>
            <w:b/>
            <w:noProof/>
            <w:webHidden/>
            <w:lang w:val="es-MX"/>
          </w:rPr>
          <w:fldChar w:fldCharType="end"/>
        </w:r>
      </w:hyperlink>
    </w:p>
    <w:p w14:paraId="72809DDF"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62" w:history="1">
        <w:r w:rsidRPr="007C7EF4">
          <w:rPr>
            <w:rFonts w:ascii="Verdana" w:eastAsia="Times New Roman" w:hAnsi="Verdana" w:cs="Arial"/>
            <w:b/>
            <w:noProof/>
            <w:lang w:val="es-MX"/>
          </w:rPr>
          <w:t>12</w:t>
        </w:r>
        <w:r w:rsidRPr="007C7EF4">
          <w:rPr>
            <w:rFonts w:ascii="Verdana" w:eastAsia="Times New Roman" w:hAnsi="Verdana" w:cs="Arial"/>
            <w:noProof/>
            <w:lang w:eastAsia="es-CO"/>
          </w:rPr>
          <w:tab/>
        </w:r>
        <w:r w:rsidRPr="007C7EF4">
          <w:rPr>
            <w:rFonts w:ascii="Verdana" w:eastAsia="Times New Roman" w:hAnsi="Verdana" w:cs="Arial"/>
            <w:b/>
            <w:noProof/>
            <w:lang w:val="es-MX"/>
          </w:rPr>
          <w:t>PRINCIPALES POLITICAS CONTABLES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_Toc94710262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35</w:t>
        </w:r>
        <w:r w:rsidRPr="007C7EF4">
          <w:rPr>
            <w:rFonts w:ascii="Verdana" w:eastAsia="Times New Roman" w:hAnsi="Verdana" w:cs="Arial"/>
            <w:b/>
            <w:noProof/>
            <w:webHidden/>
            <w:lang w:val="es-MX"/>
          </w:rPr>
          <w:fldChar w:fldCharType="end"/>
        </w:r>
      </w:hyperlink>
    </w:p>
    <w:p w14:paraId="4B357051"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3" w:history="1">
        <w:r w:rsidRPr="007C7EF4">
          <w:rPr>
            <w:rFonts w:ascii="Verdana" w:eastAsia="Times New Roman" w:hAnsi="Verdana" w:cs="Arial"/>
            <w:noProof/>
            <w:lang w:val="es-ES" w:eastAsia="es-ES"/>
          </w:rPr>
          <w:t>12.1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Inversiones de Administración de Liquidez</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35</w:t>
        </w:r>
        <w:r w:rsidRPr="007C7EF4">
          <w:rPr>
            <w:rFonts w:ascii="Verdana" w:eastAsia="Times New Roman" w:hAnsi="Verdana" w:cs="Arial"/>
            <w:noProof/>
            <w:webHidden/>
            <w:lang w:val="es-ES" w:eastAsia="es-ES"/>
          </w:rPr>
          <w:fldChar w:fldCharType="end"/>
        </w:r>
      </w:hyperlink>
    </w:p>
    <w:p w14:paraId="5C22BA73"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4" w:history="1">
        <w:r w:rsidRPr="007C7EF4">
          <w:rPr>
            <w:rFonts w:ascii="Verdana" w:eastAsia="Times New Roman" w:hAnsi="Verdana" w:cs="Arial"/>
            <w:noProof/>
            <w:lang w:val="es-ES" w:eastAsia="es-ES"/>
          </w:rPr>
          <w:t>13.1.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Cuentas por Cobrar</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35</w:t>
        </w:r>
        <w:r w:rsidRPr="007C7EF4">
          <w:rPr>
            <w:rFonts w:ascii="Verdana" w:eastAsia="Times New Roman" w:hAnsi="Verdana" w:cs="Arial"/>
            <w:noProof/>
            <w:webHidden/>
            <w:lang w:val="es-ES" w:eastAsia="es-ES"/>
          </w:rPr>
          <w:fldChar w:fldCharType="end"/>
        </w:r>
      </w:hyperlink>
    </w:p>
    <w:p w14:paraId="3B57C49D"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5" w:history="1">
        <w:r w:rsidRPr="007C7EF4">
          <w:rPr>
            <w:rFonts w:ascii="Verdana" w:eastAsia="Times New Roman" w:hAnsi="Verdana" w:cs="Arial"/>
            <w:noProof/>
            <w:lang w:val="es-ES" w:eastAsia="es-ES"/>
          </w:rPr>
          <w:t>13.2.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Recursos Entregados en Administración</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36</w:t>
        </w:r>
        <w:r w:rsidRPr="007C7EF4">
          <w:rPr>
            <w:rFonts w:ascii="Verdana" w:eastAsia="Times New Roman" w:hAnsi="Verdana" w:cs="Arial"/>
            <w:noProof/>
            <w:webHidden/>
            <w:lang w:val="es-ES" w:eastAsia="es-ES"/>
          </w:rPr>
          <w:fldChar w:fldCharType="end"/>
        </w:r>
      </w:hyperlink>
    </w:p>
    <w:p w14:paraId="311E9806"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6" w:history="1">
        <w:r w:rsidRPr="007C7EF4">
          <w:rPr>
            <w:rFonts w:ascii="Verdana" w:eastAsia="Times New Roman" w:hAnsi="Verdana" w:cs="Arial"/>
            <w:noProof/>
            <w:lang w:val="es-ES" w:eastAsia="es-ES"/>
          </w:rPr>
          <w:t>13.3.</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Cuentas por Pagar</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37</w:t>
        </w:r>
        <w:r w:rsidRPr="007C7EF4">
          <w:rPr>
            <w:rFonts w:ascii="Verdana" w:eastAsia="Times New Roman" w:hAnsi="Verdana" w:cs="Arial"/>
            <w:noProof/>
            <w:webHidden/>
            <w:lang w:val="es-ES" w:eastAsia="es-ES"/>
          </w:rPr>
          <w:fldChar w:fldCharType="end"/>
        </w:r>
      </w:hyperlink>
    </w:p>
    <w:p w14:paraId="7DBAE19D"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7" w:history="1">
        <w:r w:rsidRPr="007C7EF4">
          <w:rPr>
            <w:rFonts w:ascii="Verdana" w:eastAsia="Times New Roman" w:hAnsi="Verdana" w:cs="Arial"/>
            <w:noProof/>
            <w:lang w:val="es-ES" w:eastAsia="es-ES"/>
          </w:rPr>
          <w:t>13.4.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Ingresos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37</w:t>
        </w:r>
        <w:r w:rsidRPr="007C7EF4">
          <w:rPr>
            <w:rFonts w:ascii="Verdana" w:eastAsia="Times New Roman" w:hAnsi="Verdana" w:cs="Arial"/>
            <w:noProof/>
            <w:webHidden/>
            <w:lang w:val="es-ES" w:eastAsia="es-ES"/>
          </w:rPr>
          <w:fldChar w:fldCharType="end"/>
        </w:r>
      </w:hyperlink>
    </w:p>
    <w:p w14:paraId="056E302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8" w:history="1">
        <w:r w:rsidRPr="007C7EF4">
          <w:rPr>
            <w:rFonts w:ascii="Verdana" w:eastAsia="Times New Roman" w:hAnsi="Verdana" w:cs="Arial"/>
            <w:noProof/>
            <w:lang w:val="es-ES" w:eastAsia="es-ES"/>
          </w:rPr>
          <w:t>13.5.</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Gastos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_Toc94710268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38</w:t>
        </w:r>
        <w:r w:rsidRPr="007C7EF4">
          <w:rPr>
            <w:rFonts w:ascii="Verdana" w:eastAsia="Times New Roman" w:hAnsi="Verdana" w:cs="Arial"/>
            <w:noProof/>
            <w:webHidden/>
            <w:lang w:val="es-ES" w:eastAsia="es-ES"/>
          </w:rPr>
          <w:fldChar w:fldCharType="end"/>
        </w:r>
      </w:hyperlink>
    </w:p>
    <w:p w14:paraId="6F3A4C90"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69" w:history="1">
        <w:r w:rsidRPr="007C7EF4">
          <w:rPr>
            <w:rFonts w:ascii="Verdana" w:eastAsia="Times New Roman" w:hAnsi="Verdana" w:cs="Arial"/>
            <w:noProof/>
            <w:lang w:val="es-ES" w:eastAsia="es-ES"/>
          </w:rPr>
          <w:t>13.6.</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para la Preparación y Presentación de los Estados Financieros y sus Revelaciones.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_Toc94710269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39</w:t>
        </w:r>
        <w:r w:rsidRPr="007C7EF4">
          <w:rPr>
            <w:rFonts w:ascii="Verdana" w:eastAsia="Times New Roman" w:hAnsi="Verdana" w:cs="Arial"/>
            <w:noProof/>
            <w:webHidden/>
            <w:lang w:val="es-ES" w:eastAsia="es-ES"/>
          </w:rPr>
          <w:fldChar w:fldCharType="end"/>
        </w:r>
      </w:hyperlink>
    </w:p>
    <w:p w14:paraId="2A982EF1"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0" w:history="1">
        <w:r w:rsidRPr="007C7EF4">
          <w:rPr>
            <w:rFonts w:ascii="Verdana" w:eastAsia="Times New Roman" w:hAnsi="Verdana" w:cs="Arial"/>
            <w:noProof/>
            <w:lang w:val="es-ES" w:eastAsia="es-ES"/>
          </w:rPr>
          <w:t>13.7.</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Política Contable de Hechos Ocurridos Después del Periodo Contable</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_Toc94710270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40</w:t>
        </w:r>
        <w:r w:rsidRPr="007C7EF4">
          <w:rPr>
            <w:rFonts w:ascii="Verdana" w:eastAsia="Times New Roman" w:hAnsi="Verdana" w:cs="Arial"/>
            <w:noProof/>
            <w:webHidden/>
            <w:lang w:val="es-ES" w:eastAsia="es-ES"/>
          </w:rPr>
          <w:fldChar w:fldCharType="end"/>
        </w:r>
      </w:hyperlink>
    </w:p>
    <w:p w14:paraId="2B4DAC7E"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71" w:history="1">
        <w:r w:rsidRPr="007C7EF4">
          <w:rPr>
            <w:rFonts w:ascii="Verdana" w:eastAsia="Times New Roman" w:hAnsi="Verdana" w:cs="Arial"/>
            <w:b/>
            <w:noProof/>
            <w:lang w:val="es-MX"/>
          </w:rPr>
          <w:t>14.</w:t>
        </w:r>
        <w:r w:rsidRPr="007C7EF4">
          <w:rPr>
            <w:rFonts w:ascii="Verdana" w:eastAsia="Times New Roman" w:hAnsi="Verdana" w:cs="Arial"/>
            <w:noProof/>
            <w:lang w:eastAsia="es-CO"/>
          </w:rPr>
          <w:tab/>
        </w:r>
        <w:r w:rsidRPr="007C7EF4">
          <w:rPr>
            <w:rFonts w:ascii="Verdana" w:eastAsia="Times New Roman" w:hAnsi="Verdana" w:cs="Arial"/>
            <w:b/>
            <w:noProof/>
            <w:lang w:val="es-MX"/>
          </w:rPr>
          <w:t>POLÍTICA POR GRUPO DE CUENTAS ESPECIFICAS DEL SISTEMA GENERAL DE REGALÍAS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_Toc94710271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40</w:t>
        </w:r>
        <w:r w:rsidRPr="007C7EF4">
          <w:rPr>
            <w:rFonts w:ascii="Verdana" w:eastAsia="Times New Roman" w:hAnsi="Verdana" w:cs="Arial"/>
            <w:b/>
            <w:noProof/>
            <w:webHidden/>
            <w:lang w:val="es-MX"/>
          </w:rPr>
          <w:fldChar w:fldCharType="end"/>
        </w:r>
      </w:hyperlink>
    </w:p>
    <w:p w14:paraId="5DDF288D"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2" w:history="1">
        <w:r w:rsidRPr="007C7EF4">
          <w:rPr>
            <w:rFonts w:ascii="Verdana" w:eastAsia="Times New Roman" w:hAnsi="Verdana" w:cs="Arial"/>
            <w:noProof/>
            <w:lang w:val="es-ES" w:eastAsia="es-ES"/>
          </w:rPr>
          <w:t>14.1.</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ACTIVO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_Toc94710272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40</w:t>
        </w:r>
        <w:r w:rsidRPr="007C7EF4">
          <w:rPr>
            <w:rFonts w:ascii="Verdana" w:eastAsia="Times New Roman" w:hAnsi="Verdana" w:cs="Arial"/>
            <w:noProof/>
            <w:webHidden/>
            <w:lang w:val="es-ES" w:eastAsia="es-ES"/>
          </w:rPr>
          <w:fldChar w:fldCharType="end"/>
        </w:r>
      </w:hyperlink>
    </w:p>
    <w:p w14:paraId="55238DB3"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3" w:history="1">
        <w:r w:rsidRPr="007C7EF4">
          <w:rPr>
            <w:rFonts w:ascii="Verdana" w:eastAsia="Times New Roman" w:hAnsi="Verdana" w:cs="Arial"/>
            <w:noProof/>
            <w:lang w:val="es-ES" w:eastAsia="es-ES"/>
          </w:rPr>
          <w:t>14.2.</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PASIVO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_Toc94710273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68</w:t>
        </w:r>
        <w:r w:rsidRPr="007C7EF4">
          <w:rPr>
            <w:rFonts w:ascii="Verdana" w:eastAsia="Times New Roman" w:hAnsi="Verdana" w:cs="Arial"/>
            <w:noProof/>
            <w:webHidden/>
            <w:lang w:val="es-ES" w:eastAsia="es-ES"/>
          </w:rPr>
          <w:fldChar w:fldCharType="end"/>
        </w:r>
      </w:hyperlink>
    </w:p>
    <w:p w14:paraId="4FFFFC1F"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4" w:history="1">
        <w:r w:rsidRPr="007C7EF4">
          <w:rPr>
            <w:rFonts w:ascii="Verdana" w:eastAsia="Times New Roman" w:hAnsi="Verdana" w:cs="Arial"/>
            <w:noProof/>
            <w:lang w:val="es-ES" w:eastAsia="es-ES"/>
          </w:rPr>
          <w:t>14.3.</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PATRIMONIO</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_Toc94710274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78</w:t>
        </w:r>
        <w:r w:rsidRPr="007C7EF4">
          <w:rPr>
            <w:rFonts w:ascii="Verdana" w:eastAsia="Times New Roman" w:hAnsi="Verdana" w:cs="Arial"/>
            <w:noProof/>
            <w:webHidden/>
            <w:lang w:val="es-ES" w:eastAsia="es-ES"/>
          </w:rPr>
          <w:fldChar w:fldCharType="end"/>
        </w:r>
      </w:hyperlink>
    </w:p>
    <w:p w14:paraId="2A7800EA"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5" w:history="1">
        <w:r w:rsidRPr="007C7EF4">
          <w:rPr>
            <w:rFonts w:ascii="Verdana" w:eastAsia="Times New Roman" w:hAnsi="Verdana" w:cs="Arial"/>
            <w:noProof/>
            <w:lang w:val="es-ES" w:eastAsia="es-ES"/>
          </w:rPr>
          <w:t>14.4.</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INGRESOS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_Toc94710275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84</w:t>
        </w:r>
        <w:r w:rsidRPr="007C7EF4">
          <w:rPr>
            <w:rFonts w:ascii="Verdana" w:eastAsia="Times New Roman" w:hAnsi="Verdana" w:cs="Arial"/>
            <w:noProof/>
            <w:webHidden/>
            <w:lang w:val="es-ES" w:eastAsia="es-ES"/>
          </w:rPr>
          <w:fldChar w:fldCharType="end"/>
        </w:r>
      </w:hyperlink>
    </w:p>
    <w:p w14:paraId="58C7C7B4"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6" w:history="1">
        <w:r w:rsidRPr="007C7EF4">
          <w:rPr>
            <w:rFonts w:ascii="Verdana" w:eastAsia="Times New Roman" w:hAnsi="Verdana" w:cs="Arial"/>
            <w:noProof/>
            <w:lang w:val="es-ES" w:eastAsia="es-ES"/>
          </w:rPr>
          <w:t>14.5.</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GASTOS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_Toc94710276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99</w:t>
        </w:r>
        <w:r w:rsidRPr="007C7EF4">
          <w:rPr>
            <w:rFonts w:ascii="Verdana" w:eastAsia="Times New Roman" w:hAnsi="Verdana" w:cs="Arial"/>
            <w:noProof/>
            <w:webHidden/>
            <w:lang w:val="es-ES" w:eastAsia="es-ES"/>
          </w:rPr>
          <w:fldChar w:fldCharType="end"/>
        </w:r>
      </w:hyperlink>
    </w:p>
    <w:p w14:paraId="03453529" w14:textId="77777777" w:rsidR="007C7EF4" w:rsidRPr="007C7EF4" w:rsidRDefault="007C7EF4" w:rsidP="007C7EF4">
      <w:pPr>
        <w:tabs>
          <w:tab w:val="left" w:pos="709"/>
          <w:tab w:val="right" w:leader="dot" w:pos="8830"/>
        </w:tabs>
        <w:spacing w:after="0" w:line="240" w:lineRule="auto"/>
        <w:jc w:val="both"/>
        <w:rPr>
          <w:rFonts w:ascii="Verdana" w:eastAsia="Times New Roman" w:hAnsi="Verdana" w:cs="Arial"/>
          <w:noProof/>
          <w:lang w:eastAsia="es-CO"/>
        </w:rPr>
      </w:pPr>
      <w:hyperlink w:anchor="_Toc94710277" w:history="1">
        <w:r w:rsidRPr="007C7EF4">
          <w:rPr>
            <w:rFonts w:ascii="Verdana" w:eastAsia="Times New Roman" w:hAnsi="Verdana" w:cs="Arial"/>
            <w:noProof/>
            <w:lang w:val="es-ES" w:eastAsia="es-ES"/>
          </w:rPr>
          <w:t>14.6.</w:t>
        </w:r>
        <w:r w:rsidRPr="007C7EF4">
          <w:rPr>
            <w:rFonts w:ascii="Verdana" w:eastAsia="Times New Roman" w:hAnsi="Verdana" w:cs="Arial"/>
            <w:noProof/>
            <w:lang w:eastAsia="es-CO"/>
          </w:rPr>
          <w:tab/>
        </w:r>
        <w:r w:rsidRPr="007C7EF4">
          <w:rPr>
            <w:rFonts w:ascii="Verdana" w:eastAsia="Times New Roman" w:hAnsi="Verdana" w:cs="Arial"/>
            <w:noProof/>
            <w:lang w:val="es-ES" w:eastAsia="es-ES"/>
          </w:rPr>
          <w:t>CUENTAS DE ORDEN ACREEDORAS</w:t>
        </w:r>
        <w:r w:rsidRPr="007C7EF4">
          <w:rPr>
            <w:rFonts w:ascii="Verdana" w:eastAsia="Times New Roman" w:hAnsi="Verdana" w:cs="Arial"/>
            <w:noProof/>
            <w:webHidden/>
            <w:lang w:val="es-ES" w:eastAsia="es-ES"/>
          </w:rPr>
          <w:tab/>
        </w:r>
        <w:r w:rsidRPr="007C7EF4">
          <w:rPr>
            <w:rFonts w:ascii="Verdana" w:eastAsia="Times New Roman" w:hAnsi="Verdana" w:cs="Arial"/>
            <w:noProof/>
            <w:webHidden/>
            <w:lang w:val="es-ES" w:eastAsia="es-ES"/>
          </w:rPr>
          <w:fldChar w:fldCharType="begin"/>
        </w:r>
        <w:r w:rsidRPr="007C7EF4">
          <w:rPr>
            <w:rFonts w:ascii="Verdana" w:eastAsia="Times New Roman" w:hAnsi="Verdana" w:cs="Arial"/>
            <w:noProof/>
            <w:webHidden/>
            <w:lang w:val="es-ES" w:eastAsia="es-ES"/>
          </w:rPr>
          <w:instrText xml:space="preserve"> PAGEREF _Toc94710277 \h </w:instrText>
        </w:r>
        <w:r w:rsidRPr="007C7EF4">
          <w:rPr>
            <w:rFonts w:ascii="Verdana" w:eastAsia="Times New Roman" w:hAnsi="Verdana" w:cs="Arial"/>
            <w:noProof/>
            <w:webHidden/>
            <w:lang w:val="es-ES" w:eastAsia="es-ES"/>
          </w:rPr>
        </w:r>
        <w:r w:rsidRPr="007C7EF4">
          <w:rPr>
            <w:rFonts w:ascii="Verdana" w:eastAsia="Times New Roman" w:hAnsi="Verdana" w:cs="Arial"/>
            <w:noProof/>
            <w:webHidden/>
            <w:lang w:val="es-ES" w:eastAsia="es-ES"/>
          </w:rPr>
          <w:fldChar w:fldCharType="separate"/>
        </w:r>
        <w:r w:rsidRPr="007C7EF4">
          <w:rPr>
            <w:rFonts w:ascii="Verdana" w:eastAsia="Times New Roman" w:hAnsi="Verdana" w:cs="Arial"/>
            <w:noProof/>
            <w:webHidden/>
            <w:lang w:val="es-ES" w:eastAsia="es-ES"/>
          </w:rPr>
          <w:t>126</w:t>
        </w:r>
        <w:r w:rsidRPr="007C7EF4">
          <w:rPr>
            <w:rFonts w:ascii="Verdana" w:eastAsia="Times New Roman" w:hAnsi="Verdana" w:cs="Arial"/>
            <w:noProof/>
            <w:webHidden/>
            <w:lang w:val="es-ES" w:eastAsia="es-ES"/>
          </w:rPr>
          <w:fldChar w:fldCharType="end"/>
        </w:r>
      </w:hyperlink>
    </w:p>
    <w:p w14:paraId="11152789"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78" w:history="1">
        <w:r w:rsidRPr="007C7EF4">
          <w:rPr>
            <w:rFonts w:ascii="Verdana" w:eastAsia="Times New Roman" w:hAnsi="Verdana" w:cs="Arial"/>
            <w:b/>
            <w:noProof/>
            <w:lang w:val="es-MX"/>
          </w:rPr>
          <w:t>15.</w:t>
        </w:r>
        <w:r w:rsidRPr="007C7EF4">
          <w:rPr>
            <w:rFonts w:ascii="Verdana" w:eastAsia="Times New Roman" w:hAnsi="Verdana" w:cs="Arial"/>
            <w:noProof/>
            <w:lang w:eastAsia="es-CO"/>
          </w:rPr>
          <w:tab/>
        </w:r>
        <w:r w:rsidRPr="007C7EF4">
          <w:rPr>
            <w:rFonts w:ascii="Verdana" w:eastAsia="Times New Roman" w:hAnsi="Verdana" w:cs="Arial"/>
            <w:b/>
            <w:noProof/>
            <w:lang w:val="es-MX"/>
          </w:rPr>
          <w:t>HISTORIAL DE CAMBIOS</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_Toc94710278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142</w:t>
        </w:r>
        <w:r w:rsidRPr="007C7EF4">
          <w:rPr>
            <w:rFonts w:ascii="Verdana" w:eastAsia="Times New Roman" w:hAnsi="Verdana" w:cs="Arial"/>
            <w:b/>
            <w:noProof/>
            <w:webHidden/>
            <w:lang w:val="es-MX"/>
          </w:rPr>
          <w:fldChar w:fldCharType="end"/>
        </w:r>
      </w:hyperlink>
    </w:p>
    <w:p w14:paraId="739A6ABE" w14:textId="77777777" w:rsidR="007C7EF4" w:rsidRPr="007C7EF4" w:rsidRDefault="007C7EF4" w:rsidP="007C7EF4">
      <w:pPr>
        <w:tabs>
          <w:tab w:val="left" w:pos="440"/>
          <w:tab w:val="right" w:leader="dot" w:pos="8830"/>
        </w:tabs>
        <w:spacing w:after="0" w:line="240" w:lineRule="auto"/>
        <w:ind w:left="426" w:hanging="426"/>
        <w:jc w:val="both"/>
        <w:rPr>
          <w:rFonts w:ascii="Verdana" w:eastAsia="Times New Roman" w:hAnsi="Verdana" w:cs="Arial"/>
          <w:noProof/>
          <w:lang w:eastAsia="es-CO"/>
        </w:rPr>
      </w:pPr>
      <w:hyperlink w:anchor="_Toc94710279" w:history="1">
        <w:r w:rsidRPr="007C7EF4">
          <w:rPr>
            <w:rFonts w:ascii="Verdana" w:eastAsia="Times New Roman" w:hAnsi="Verdana" w:cs="Arial"/>
            <w:b/>
            <w:noProof/>
            <w:lang w:val="es-MX"/>
          </w:rPr>
          <w:t>16.</w:t>
        </w:r>
        <w:r w:rsidRPr="007C7EF4">
          <w:rPr>
            <w:rFonts w:ascii="Verdana" w:eastAsia="Times New Roman" w:hAnsi="Verdana" w:cs="Arial"/>
            <w:noProof/>
            <w:lang w:eastAsia="es-CO"/>
          </w:rPr>
          <w:tab/>
        </w:r>
        <w:r w:rsidRPr="007C7EF4">
          <w:rPr>
            <w:rFonts w:ascii="Verdana" w:eastAsia="Times New Roman" w:hAnsi="Verdana" w:cs="Arial"/>
            <w:b/>
            <w:noProof/>
            <w:lang w:val="es-MX"/>
          </w:rPr>
          <w:t>APROBACIÓN</w:t>
        </w:r>
        <w:r w:rsidRPr="007C7EF4">
          <w:rPr>
            <w:rFonts w:ascii="Verdana" w:eastAsia="Times New Roman" w:hAnsi="Verdana" w:cs="Arial"/>
            <w:b/>
            <w:noProof/>
            <w:webHidden/>
            <w:lang w:val="es-MX"/>
          </w:rPr>
          <w:tab/>
        </w:r>
        <w:r w:rsidRPr="007C7EF4">
          <w:rPr>
            <w:rFonts w:ascii="Verdana" w:eastAsia="Times New Roman" w:hAnsi="Verdana" w:cs="Arial"/>
            <w:b/>
            <w:noProof/>
            <w:webHidden/>
            <w:lang w:val="es-MX"/>
          </w:rPr>
          <w:fldChar w:fldCharType="begin"/>
        </w:r>
        <w:r w:rsidRPr="007C7EF4">
          <w:rPr>
            <w:rFonts w:ascii="Verdana" w:eastAsia="Times New Roman" w:hAnsi="Verdana" w:cs="Arial"/>
            <w:b/>
            <w:noProof/>
            <w:webHidden/>
            <w:lang w:val="es-MX"/>
          </w:rPr>
          <w:instrText xml:space="preserve"> PAGEREF _Toc94710279 \h </w:instrText>
        </w:r>
        <w:r w:rsidRPr="007C7EF4">
          <w:rPr>
            <w:rFonts w:ascii="Verdana" w:eastAsia="Times New Roman" w:hAnsi="Verdana" w:cs="Arial"/>
            <w:b/>
            <w:noProof/>
            <w:webHidden/>
            <w:lang w:val="es-MX"/>
          </w:rPr>
        </w:r>
        <w:r w:rsidRPr="007C7EF4">
          <w:rPr>
            <w:rFonts w:ascii="Verdana" w:eastAsia="Times New Roman" w:hAnsi="Verdana" w:cs="Arial"/>
            <w:b/>
            <w:noProof/>
            <w:webHidden/>
            <w:lang w:val="es-MX"/>
          </w:rPr>
          <w:fldChar w:fldCharType="separate"/>
        </w:r>
        <w:r w:rsidRPr="007C7EF4">
          <w:rPr>
            <w:rFonts w:ascii="Verdana" w:eastAsia="Times New Roman" w:hAnsi="Verdana" w:cs="Arial"/>
            <w:b/>
            <w:noProof/>
            <w:webHidden/>
            <w:lang w:val="es-MX"/>
          </w:rPr>
          <w:t>142</w:t>
        </w:r>
        <w:r w:rsidRPr="007C7EF4">
          <w:rPr>
            <w:rFonts w:ascii="Verdana" w:eastAsia="Times New Roman" w:hAnsi="Verdana" w:cs="Arial"/>
            <w:b/>
            <w:noProof/>
            <w:webHidden/>
            <w:lang w:val="es-MX"/>
          </w:rPr>
          <w:fldChar w:fldCharType="end"/>
        </w:r>
      </w:hyperlink>
    </w:p>
    <w:p w14:paraId="6FB123AD" w14:textId="05FDDFCE" w:rsidR="007C7EF4" w:rsidRPr="00CD459A" w:rsidRDefault="007C7EF4" w:rsidP="007C7EF4">
      <w:pPr>
        <w:rPr>
          <w:rFonts w:ascii="Verdana" w:hAnsi="Verdana" w:cs="Arial"/>
          <w:b/>
          <w:i/>
        </w:rPr>
      </w:pPr>
      <w:r w:rsidRPr="00CD459A">
        <w:rPr>
          <w:rFonts w:ascii="Verdana" w:eastAsia="Times New Roman" w:hAnsi="Verdana" w:cs="Arial"/>
          <w:b/>
          <w:bCs/>
          <w:lang w:val="es-ES" w:eastAsia="es-ES"/>
        </w:rPr>
        <w:fldChar w:fldCharType="end"/>
      </w:r>
    </w:p>
    <w:p w14:paraId="24554785" w14:textId="0DEABE4E" w:rsidR="007C7EF4" w:rsidRPr="00CD459A" w:rsidRDefault="007C7EF4" w:rsidP="007C7EF4">
      <w:pPr>
        <w:pStyle w:val="TDC1"/>
        <w:jc w:val="both"/>
        <w:rPr>
          <w:rFonts w:ascii="Verdana" w:hAnsi="Verdana" w:cs="Arial"/>
          <w:noProof/>
          <w:sz w:val="22"/>
          <w:szCs w:val="22"/>
          <w:lang w:val="es-CO" w:eastAsia="es-CO"/>
        </w:rPr>
      </w:pPr>
      <w:r w:rsidRPr="00CD459A">
        <w:rPr>
          <w:rFonts w:ascii="Verdana" w:hAnsi="Verdana"/>
          <w:sz w:val="22"/>
          <w:szCs w:val="22"/>
        </w:rPr>
        <w:fldChar w:fldCharType="begin"/>
      </w:r>
      <w:r w:rsidRPr="00CD459A">
        <w:rPr>
          <w:rFonts w:ascii="Verdana" w:hAnsi="Verdana"/>
          <w:sz w:val="22"/>
          <w:szCs w:val="22"/>
        </w:rPr>
        <w:instrText xml:space="preserve"> TOC \o "1-3" \h \z \u </w:instrText>
      </w:r>
      <w:r w:rsidRPr="00CD459A">
        <w:rPr>
          <w:rFonts w:ascii="Verdana" w:hAnsi="Verdana"/>
          <w:sz w:val="22"/>
          <w:szCs w:val="22"/>
        </w:rPr>
        <w:fldChar w:fldCharType="separate"/>
      </w:r>
      <w:r w:rsidRPr="00CD459A">
        <w:rPr>
          <w:rFonts w:ascii="Verdana" w:hAnsi="Verdana" w:cs="Arial"/>
          <w:b/>
          <w:bCs/>
          <w:sz w:val="22"/>
          <w:szCs w:val="22"/>
        </w:rPr>
        <w:fldChar w:fldCharType="end"/>
      </w:r>
    </w:p>
    <w:p w14:paraId="76A577F4" w14:textId="77777777" w:rsidR="007C7EF4" w:rsidRPr="00CD459A" w:rsidRDefault="007C7EF4" w:rsidP="007C7EF4">
      <w:pPr>
        <w:pStyle w:val="Ttulo1"/>
        <w:widowControl w:val="0"/>
        <w:spacing w:before="0" w:after="0"/>
        <w:ind w:left="720" w:hanging="360"/>
        <w:jc w:val="both"/>
        <w:rPr>
          <w:rStyle w:val="nfasis"/>
          <w:rFonts w:ascii="Verdana" w:hAnsi="Verdana"/>
          <w:i w:val="0"/>
          <w:iCs w:val="0"/>
          <w:sz w:val="22"/>
          <w:szCs w:val="22"/>
        </w:rPr>
      </w:pPr>
      <w:bookmarkStart w:id="2" w:name="_Toc94710186"/>
      <w:bookmarkEnd w:id="0"/>
      <w:bookmarkEnd w:id="1"/>
      <w:r w:rsidRPr="00CD459A">
        <w:rPr>
          <w:rStyle w:val="nfasis"/>
          <w:rFonts w:ascii="Verdana" w:hAnsi="Verdana"/>
          <w:sz w:val="22"/>
          <w:szCs w:val="22"/>
        </w:rPr>
        <w:t>INTRODUCCIÓN</w:t>
      </w:r>
      <w:bookmarkEnd w:id="2"/>
      <w:r w:rsidRPr="00CD459A">
        <w:rPr>
          <w:rStyle w:val="nfasis"/>
          <w:rFonts w:ascii="Verdana" w:hAnsi="Verdana"/>
          <w:sz w:val="22"/>
          <w:szCs w:val="22"/>
        </w:rPr>
        <w:t xml:space="preserve"> </w:t>
      </w:r>
    </w:p>
    <w:p w14:paraId="44F7C626" w14:textId="77777777" w:rsidR="007C7EF4" w:rsidRPr="00CD459A" w:rsidRDefault="007C7EF4" w:rsidP="007C7EF4">
      <w:pPr>
        <w:jc w:val="both"/>
        <w:rPr>
          <w:rFonts w:ascii="Verdana" w:hAnsi="Verdana" w:cs="Arial"/>
          <w:lang w:val="es-ES_tradnl"/>
        </w:rPr>
      </w:pPr>
    </w:p>
    <w:p w14:paraId="7F2581A5" w14:textId="6108E964" w:rsidR="007C7EF4" w:rsidRPr="00CD459A" w:rsidRDefault="007C7EF4" w:rsidP="007C7EF4">
      <w:pPr>
        <w:jc w:val="both"/>
        <w:rPr>
          <w:rFonts w:ascii="Verdana" w:hAnsi="Verdana" w:cs="Arial"/>
          <w:lang w:val="es-ES_tradnl"/>
        </w:rPr>
      </w:pPr>
      <w:r w:rsidRPr="00CD459A">
        <w:rPr>
          <w:rFonts w:ascii="Verdana" w:hAnsi="Verdana" w:cs="Arial"/>
          <w:lang w:val="es-ES_tradnl"/>
        </w:rPr>
        <w:t>Con el propósito de estar a la vanguardia y asimilar los cambios que se vienen presentando en las en los entornos económicos y sociales, la Contaduría General de la Nación (CGN) llevó a cabo un proceso de modernización de la regulación contable pública aplicable a empresas y a entidades de gobierno, generando como resultado la expedición del documento denominado Estrategia de convergencia de la regulación contable pública hacia NIIF y NICSP, para lo cual expidió el marco normativo para Entidades de Gobierno, expedido mediante Resolución 533 de 2015 y sus modificaciones, y basado en las Normas Internacionales de Contabilidad para el Sector Público.</w:t>
      </w:r>
    </w:p>
    <w:p w14:paraId="5CEB9173"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El Sistema General de Regalías se encuentra en el ámbito de aplicación del Marco normativo aplicable a Entidades de Gobierno, el cual está conformado por el Marco Conceptual para la Preparación y Presentación de la Información Financiera, las Normas para el Reconocimiento, Medición, Revelación y Presentación de los Hechos Económicos, el Catálogo General de Cuentas, la Doctrina Contable Pública, los Procedimientos contables y las Guías de aplicación. </w:t>
      </w:r>
    </w:p>
    <w:p w14:paraId="5437C204" w14:textId="77777777" w:rsidR="007C7EF4" w:rsidRPr="00CD459A" w:rsidRDefault="007C7EF4" w:rsidP="007C7EF4">
      <w:pPr>
        <w:jc w:val="both"/>
        <w:rPr>
          <w:rFonts w:ascii="Verdana" w:hAnsi="Verdana" w:cs="Arial"/>
          <w:lang w:val="es-ES_tradnl"/>
        </w:rPr>
      </w:pPr>
    </w:p>
    <w:p w14:paraId="7A1AFA1A" w14:textId="77777777" w:rsidR="007C7EF4" w:rsidRPr="00CD459A" w:rsidRDefault="007C7EF4" w:rsidP="007C7EF4">
      <w:pPr>
        <w:pStyle w:val="Default"/>
        <w:jc w:val="both"/>
        <w:rPr>
          <w:rFonts w:ascii="Verdana" w:hAnsi="Verdana"/>
          <w:color w:val="auto"/>
          <w:sz w:val="22"/>
          <w:szCs w:val="22"/>
          <w:lang w:eastAsia="es-CO"/>
        </w:rPr>
      </w:pPr>
      <w:r w:rsidRPr="00CD459A">
        <w:rPr>
          <w:rFonts w:ascii="Verdana" w:hAnsi="Verdana"/>
          <w:color w:val="auto"/>
          <w:sz w:val="22"/>
          <w:szCs w:val="22"/>
          <w:lang w:val="es-ES_tradnl"/>
        </w:rPr>
        <w:t xml:space="preserve">Ahora bien, según lo señalado en el Marco Normativo para Entidades de Gobierno, las </w:t>
      </w:r>
      <w:r w:rsidRPr="00CD459A">
        <w:rPr>
          <w:rFonts w:ascii="Verdana" w:hAnsi="Verdana"/>
          <w:color w:val="auto"/>
          <w:sz w:val="22"/>
          <w:szCs w:val="22"/>
          <w:lang w:eastAsia="es-CO"/>
        </w:rPr>
        <w:t xml:space="preserve">políticas contables son los principios, bases, acuerdos, reglas y procedimientos adoptados por la entidad para la elaboración y presentación de los estados financieros, y son establecidas por la Contaduría General de la Nación con el fin de contar con información relevante y fiable sobre los hechos económicos. </w:t>
      </w:r>
    </w:p>
    <w:p w14:paraId="77F9B1CD" w14:textId="77777777" w:rsidR="007C7EF4" w:rsidRPr="00CD459A" w:rsidRDefault="007C7EF4" w:rsidP="007C7EF4">
      <w:pPr>
        <w:jc w:val="both"/>
        <w:rPr>
          <w:rFonts w:ascii="Verdana" w:eastAsia="Calibri" w:hAnsi="Verdana" w:cs="Arial"/>
          <w:lang w:val="es-ES_tradnl"/>
        </w:rPr>
      </w:pPr>
    </w:p>
    <w:p w14:paraId="4126F724" w14:textId="77777777" w:rsidR="007C7EF4" w:rsidRPr="00CD459A" w:rsidRDefault="007C7EF4" w:rsidP="007C7EF4">
      <w:pPr>
        <w:pStyle w:val="Default"/>
        <w:jc w:val="both"/>
        <w:rPr>
          <w:rFonts w:ascii="Verdana" w:hAnsi="Verdana"/>
          <w:color w:val="auto"/>
          <w:sz w:val="22"/>
          <w:szCs w:val="22"/>
          <w:lang w:val="es-ES_tradnl"/>
        </w:rPr>
      </w:pPr>
      <w:r w:rsidRPr="00CD459A">
        <w:rPr>
          <w:rFonts w:ascii="Verdana" w:hAnsi="Verdana"/>
          <w:color w:val="auto"/>
          <w:sz w:val="22"/>
          <w:szCs w:val="22"/>
          <w:lang w:val="es-ES_tradnl"/>
        </w:rPr>
        <w:t>Las políticas contables definidas en el presente manual deben ser observadas para el reconocimiento, registro, clasificación, medición, revelación y presentación de los hechos, operaciones y transacciones financieras, económicas, sociales y ambientales que se originen en el ciclo de negocio del Sistema General de Regalías, y deben ser aplicadas en su integridad, por los funcionarios responsables directos del proceso contable.</w:t>
      </w:r>
    </w:p>
    <w:p w14:paraId="0EE3E8B0" w14:textId="77777777" w:rsidR="007C7EF4" w:rsidRPr="00CD459A" w:rsidRDefault="007C7EF4" w:rsidP="007C7EF4">
      <w:pPr>
        <w:pStyle w:val="Default"/>
        <w:jc w:val="both"/>
        <w:rPr>
          <w:rFonts w:ascii="Verdana" w:hAnsi="Verdana"/>
          <w:color w:val="auto"/>
          <w:sz w:val="22"/>
          <w:szCs w:val="22"/>
          <w:lang w:eastAsia="es-CO"/>
        </w:rPr>
      </w:pPr>
    </w:p>
    <w:p w14:paraId="50682288" w14:textId="482A1186" w:rsidR="007C7EF4" w:rsidRPr="00CD459A" w:rsidRDefault="007C7EF4" w:rsidP="007C7EF4">
      <w:pPr>
        <w:jc w:val="both"/>
        <w:rPr>
          <w:rFonts w:ascii="Verdana" w:hAnsi="Verdana" w:cs="Arial"/>
          <w:b/>
          <w:bCs/>
        </w:rPr>
      </w:pPr>
      <w:r w:rsidRPr="00CD459A">
        <w:rPr>
          <w:rFonts w:ascii="Verdana" w:eastAsia="Calibri" w:hAnsi="Verdana" w:cs="Arial"/>
          <w:b/>
          <w:bCs/>
          <w:lang w:eastAsia="es-CO"/>
        </w:rPr>
        <w:t>La política contable tiene como elemento esencial la adopción de criterios homogéneos orientados al establecimiento y desarrollo de procedimientos dirigidos a obtener, registrar y revelar información contable del Sistema General de Regalías.</w:t>
      </w:r>
      <w:bookmarkStart w:id="3" w:name="_Toc490726939"/>
      <w:bookmarkStart w:id="4" w:name="_Toc490727887"/>
      <w:bookmarkStart w:id="5" w:name="_Toc515549281"/>
      <w:bookmarkStart w:id="6" w:name="_Toc515549675"/>
      <w:bookmarkStart w:id="7" w:name="_Toc520127137"/>
      <w:r w:rsidRPr="00CD459A">
        <w:rPr>
          <w:rFonts w:ascii="Verdana" w:hAnsi="Verdana" w:cs="Arial"/>
          <w:b/>
          <w:bCs/>
          <w:lang w:val="es-ES_tradnl"/>
        </w:rPr>
        <w:br w:type="page"/>
      </w:r>
      <w:bookmarkStart w:id="8" w:name="_Toc529890204"/>
      <w:bookmarkStart w:id="9" w:name="_Toc62483900"/>
      <w:bookmarkStart w:id="10" w:name="_Toc94710187"/>
      <w:r w:rsidRPr="00CD459A">
        <w:rPr>
          <w:rFonts w:ascii="Verdana" w:hAnsi="Verdana" w:cs="Arial"/>
          <w:b/>
          <w:bCs/>
          <w:lang w:val="es-ES_tradnl"/>
        </w:rPr>
        <w:t xml:space="preserve">1. </w:t>
      </w:r>
      <w:r w:rsidRPr="00CD459A">
        <w:rPr>
          <w:rFonts w:ascii="Verdana" w:hAnsi="Verdana" w:cs="Arial"/>
          <w:b/>
          <w:bCs/>
        </w:rPr>
        <w:t>OBJETIVO GENERAL</w:t>
      </w:r>
      <w:bookmarkEnd w:id="8"/>
      <w:bookmarkEnd w:id="9"/>
      <w:bookmarkEnd w:id="10"/>
      <w:r w:rsidRPr="00CD459A">
        <w:rPr>
          <w:rFonts w:ascii="Verdana" w:hAnsi="Verdana" w:cs="Arial"/>
          <w:b/>
          <w:bCs/>
        </w:rPr>
        <w:t xml:space="preserve">                               </w:t>
      </w:r>
    </w:p>
    <w:bookmarkEnd w:id="3"/>
    <w:bookmarkEnd w:id="4"/>
    <w:bookmarkEnd w:id="5"/>
    <w:bookmarkEnd w:id="6"/>
    <w:bookmarkEnd w:id="7"/>
    <w:p w14:paraId="4601A68E"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El presente manual tiene por objetivo describir las políticas contables necesarias para la preparación, presentación y publicación de los estados contables de la entidad contable pública Sistema General de Regalías, conforme a lo establecido por la NICSP y la Contaduría General de la Nación. </w:t>
      </w:r>
    </w:p>
    <w:p w14:paraId="485F65AF" w14:textId="77777777" w:rsidR="007C7EF4" w:rsidRPr="00CD459A" w:rsidRDefault="007C7EF4" w:rsidP="007C7EF4">
      <w:pPr>
        <w:jc w:val="both"/>
        <w:rPr>
          <w:rFonts w:ascii="Verdana" w:hAnsi="Verdana" w:cs="Arial"/>
          <w:lang w:val="es-ES_tradnl"/>
        </w:rPr>
      </w:pPr>
    </w:p>
    <w:p w14:paraId="6197BCAB" w14:textId="2446D497" w:rsidR="007C7EF4" w:rsidRPr="00CD459A" w:rsidRDefault="007C7EF4" w:rsidP="007C7EF4">
      <w:pPr>
        <w:pStyle w:val="Ttulo1"/>
        <w:widowControl w:val="0"/>
        <w:spacing w:before="0" w:after="0"/>
        <w:jc w:val="both"/>
        <w:rPr>
          <w:rFonts w:ascii="Verdana" w:hAnsi="Verdana"/>
          <w:sz w:val="22"/>
          <w:szCs w:val="22"/>
        </w:rPr>
      </w:pPr>
      <w:bookmarkStart w:id="11" w:name="_Toc468711345"/>
      <w:bookmarkStart w:id="12" w:name="_Toc468711418"/>
      <w:bookmarkStart w:id="13" w:name="_Toc468724689"/>
      <w:bookmarkStart w:id="14" w:name="_Toc468724768"/>
      <w:bookmarkStart w:id="15" w:name="_Toc484176507"/>
      <w:bookmarkStart w:id="16" w:name="_Toc390675291"/>
      <w:bookmarkStart w:id="17" w:name="_Toc397936240"/>
      <w:bookmarkStart w:id="18" w:name="_Toc490726940"/>
      <w:bookmarkStart w:id="19" w:name="_Toc490727888"/>
      <w:bookmarkStart w:id="20" w:name="_Toc515549282"/>
      <w:bookmarkStart w:id="21" w:name="_Toc515549676"/>
      <w:bookmarkStart w:id="22" w:name="_Toc520127138"/>
      <w:bookmarkStart w:id="23" w:name="_Toc529890205"/>
      <w:bookmarkStart w:id="24" w:name="_Toc62483901"/>
      <w:bookmarkStart w:id="25" w:name="_Toc94710188"/>
      <w:bookmarkEnd w:id="11"/>
      <w:bookmarkEnd w:id="12"/>
      <w:bookmarkEnd w:id="13"/>
      <w:bookmarkEnd w:id="14"/>
      <w:bookmarkEnd w:id="15"/>
      <w:r w:rsidRPr="00CD459A">
        <w:rPr>
          <w:rFonts w:ascii="Verdana" w:hAnsi="Verdana"/>
          <w:sz w:val="22"/>
          <w:szCs w:val="22"/>
        </w:rPr>
        <w:t>2. ALCANCE</w:t>
      </w:r>
      <w:bookmarkEnd w:id="16"/>
      <w:bookmarkEnd w:id="17"/>
      <w:bookmarkEnd w:id="18"/>
      <w:bookmarkEnd w:id="19"/>
      <w:bookmarkEnd w:id="20"/>
      <w:bookmarkEnd w:id="21"/>
      <w:bookmarkEnd w:id="22"/>
      <w:r w:rsidRPr="00CD459A">
        <w:rPr>
          <w:rFonts w:ascii="Verdana" w:hAnsi="Verdana"/>
          <w:sz w:val="22"/>
          <w:szCs w:val="22"/>
        </w:rPr>
        <w:t xml:space="preserve"> DEL MANUAL DE POLÍTICAS CONTABLES</w:t>
      </w:r>
      <w:bookmarkEnd w:id="23"/>
      <w:bookmarkEnd w:id="24"/>
      <w:bookmarkEnd w:id="25"/>
      <w:r w:rsidRPr="00CD459A">
        <w:rPr>
          <w:rFonts w:ascii="Verdana" w:hAnsi="Verdana"/>
          <w:sz w:val="22"/>
          <w:szCs w:val="22"/>
        </w:rPr>
        <w:t xml:space="preserve"> </w:t>
      </w:r>
    </w:p>
    <w:p w14:paraId="6038B61F" w14:textId="77777777" w:rsidR="007C7EF4" w:rsidRPr="00CD459A" w:rsidRDefault="007C7EF4" w:rsidP="007C7EF4">
      <w:pPr>
        <w:rPr>
          <w:lang w:val="es-ES" w:eastAsia="es-ES"/>
        </w:rPr>
      </w:pPr>
    </w:p>
    <w:p w14:paraId="1A85C3B8" w14:textId="405B46E6" w:rsidR="007C7EF4" w:rsidRPr="00CD459A" w:rsidRDefault="007C7EF4" w:rsidP="007C7EF4">
      <w:pPr>
        <w:jc w:val="both"/>
        <w:rPr>
          <w:rFonts w:ascii="Verdana" w:hAnsi="Verdana" w:cs="Arial"/>
          <w:lang w:val="es-ES_tradnl"/>
        </w:rPr>
      </w:pPr>
      <w:r w:rsidRPr="00CD459A">
        <w:rPr>
          <w:rFonts w:ascii="Verdana" w:hAnsi="Verdana" w:cs="Arial"/>
          <w:lang w:val="es-ES_tradnl"/>
        </w:rPr>
        <w:t>El presente manual cubre desde la recopilación, clasificación, registro, presentación y publicación de los Estados Financieros del Sistema General de Regalías, y es de obligatorio cumplimiento en todas las áreas en las que se produce información como insumo para elaborar y presentar los Estados Financieros.</w:t>
      </w:r>
    </w:p>
    <w:p w14:paraId="18B22F15"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Para la elaboración del presente manual fueron observados los documentos que establecen la operatividad del proceso contable y los lineamientos definidos por la Contaduría General de la Nación para garantizar que estén acordes con dispuesto en el Régimen de Contabilidad Pública y, especialmente en el Marco Normativo para Entidades de Gobierno, expedido por la Contaduría General de la Nación. </w:t>
      </w:r>
      <w:bookmarkStart w:id="26" w:name="_Toc529890206"/>
    </w:p>
    <w:p w14:paraId="06C4E5D1" w14:textId="77777777" w:rsidR="007C7EF4" w:rsidRPr="00CD459A" w:rsidRDefault="007C7EF4" w:rsidP="007C7EF4">
      <w:pPr>
        <w:jc w:val="both"/>
        <w:rPr>
          <w:rFonts w:ascii="Verdana" w:hAnsi="Verdana" w:cs="Arial"/>
          <w:b/>
          <w:lang w:val="es-ES_tradnl"/>
        </w:rPr>
      </w:pPr>
    </w:p>
    <w:p w14:paraId="08CC1E43" w14:textId="069B2BFE" w:rsidR="007C7EF4" w:rsidRPr="00CD459A" w:rsidRDefault="007C7EF4" w:rsidP="007C7EF4">
      <w:pPr>
        <w:pStyle w:val="Ttulo1"/>
        <w:widowControl w:val="0"/>
        <w:spacing w:before="0" w:after="0"/>
        <w:jc w:val="both"/>
        <w:rPr>
          <w:rFonts w:ascii="Verdana" w:hAnsi="Verdana"/>
          <w:sz w:val="22"/>
          <w:szCs w:val="22"/>
        </w:rPr>
      </w:pPr>
      <w:bookmarkStart w:id="27" w:name="_Toc62483902"/>
      <w:bookmarkStart w:id="28" w:name="_Toc94710189"/>
      <w:r w:rsidRPr="00CD459A">
        <w:rPr>
          <w:rFonts w:ascii="Verdana" w:hAnsi="Verdana"/>
          <w:sz w:val="22"/>
          <w:szCs w:val="22"/>
        </w:rPr>
        <w:t>3. PRODUCTOS ESPERADOS</w:t>
      </w:r>
      <w:bookmarkEnd w:id="26"/>
      <w:bookmarkEnd w:id="27"/>
      <w:bookmarkEnd w:id="28"/>
      <w:r w:rsidRPr="00CD459A">
        <w:rPr>
          <w:rFonts w:ascii="Verdana" w:hAnsi="Verdana"/>
          <w:sz w:val="22"/>
          <w:szCs w:val="22"/>
        </w:rPr>
        <w:t xml:space="preserve"> </w:t>
      </w:r>
    </w:p>
    <w:p w14:paraId="0CF37DC6" w14:textId="77777777" w:rsidR="007C7EF4" w:rsidRPr="00CD459A" w:rsidRDefault="007C7EF4" w:rsidP="007C7EF4">
      <w:pPr>
        <w:rPr>
          <w:lang w:val="es-ES" w:eastAsia="es-ES"/>
        </w:rPr>
      </w:pPr>
    </w:p>
    <w:p w14:paraId="19B19F19"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Estados financieros elaborados, publicados y presentados de acuerdo con lo definido por la Contaduría General de la Nación en la Resolución 533/15 y sus modificaciones, mediante la cual incorpora, como parte integrante del Régimen de Contabilidad Pública, el Marco Normativo para Entidades de Gobierno.</w:t>
      </w:r>
    </w:p>
    <w:p w14:paraId="52DA69DC" w14:textId="77777777" w:rsidR="007C7EF4" w:rsidRPr="00CD459A" w:rsidRDefault="007C7EF4" w:rsidP="007C7EF4">
      <w:pPr>
        <w:jc w:val="both"/>
        <w:rPr>
          <w:rFonts w:ascii="Verdana" w:hAnsi="Verdana" w:cs="Arial"/>
          <w:lang w:val="es-ES_tradnl"/>
        </w:rPr>
      </w:pPr>
    </w:p>
    <w:p w14:paraId="201BF9E9" w14:textId="01E32962" w:rsidR="007C7EF4" w:rsidRPr="00CD459A" w:rsidRDefault="007C7EF4" w:rsidP="007C7EF4">
      <w:pPr>
        <w:pStyle w:val="Ttulo1"/>
        <w:widowControl w:val="0"/>
        <w:spacing w:before="0" w:after="0"/>
        <w:jc w:val="both"/>
        <w:rPr>
          <w:rFonts w:ascii="Verdana" w:hAnsi="Verdana"/>
          <w:sz w:val="22"/>
          <w:szCs w:val="22"/>
          <w:lang w:val="es-ES_tradnl"/>
        </w:rPr>
      </w:pPr>
      <w:bookmarkStart w:id="29" w:name="_Toc515549310"/>
      <w:bookmarkStart w:id="30" w:name="_Toc515549704"/>
      <w:bookmarkStart w:id="31" w:name="_Toc520127166"/>
      <w:bookmarkStart w:id="32" w:name="_Toc529890235"/>
      <w:bookmarkStart w:id="33" w:name="_Toc62483903"/>
      <w:bookmarkStart w:id="34" w:name="_Toc94710190"/>
      <w:bookmarkStart w:id="35" w:name="_Toc482977957"/>
      <w:bookmarkStart w:id="36" w:name="_Toc529890207"/>
      <w:r w:rsidRPr="00CD459A">
        <w:rPr>
          <w:rFonts w:ascii="Verdana" w:hAnsi="Verdana"/>
          <w:sz w:val="22"/>
          <w:szCs w:val="22"/>
        </w:rPr>
        <w:t>4. TERMINOS Y DEFINICIONES - DEFINICIÓN, RECONOCIMIENTO, MEDICIÓN Y REVELACIÓN DE LOS</w:t>
      </w:r>
      <w:r w:rsidRPr="00CD459A">
        <w:rPr>
          <w:rFonts w:ascii="Verdana" w:hAnsi="Verdana"/>
          <w:sz w:val="22"/>
          <w:szCs w:val="22"/>
          <w:lang w:val="es-ES_tradnl"/>
        </w:rPr>
        <w:t xml:space="preserve"> </w:t>
      </w:r>
      <w:r w:rsidRPr="00CD459A">
        <w:rPr>
          <w:rFonts w:ascii="Verdana" w:hAnsi="Verdana"/>
          <w:sz w:val="22"/>
          <w:szCs w:val="22"/>
        </w:rPr>
        <w:t>ELEMENTOS QUE CONSTITUYEN LOS ESTADOS FINANCIEROS</w:t>
      </w:r>
      <w:bookmarkEnd w:id="29"/>
      <w:bookmarkEnd w:id="30"/>
      <w:bookmarkEnd w:id="31"/>
      <w:bookmarkEnd w:id="32"/>
      <w:r w:rsidRPr="00CD459A">
        <w:rPr>
          <w:rFonts w:ascii="Verdana" w:hAnsi="Verdana"/>
          <w:sz w:val="22"/>
          <w:szCs w:val="22"/>
        </w:rPr>
        <w:t>-</w:t>
      </w:r>
      <w:bookmarkEnd w:id="33"/>
      <w:bookmarkEnd w:id="34"/>
      <w:r w:rsidRPr="00CD459A">
        <w:rPr>
          <w:rFonts w:ascii="Verdana" w:hAnsi="Verdana"/>
          <w:sz w:val="22"/>
          <w:szCs w:val="22"/>
        </w:rPr>
        <w:t xml:space="preserve"> </w:t>
      </w:r>
    </w:p>
    <w:p w14:paraId="6C4F2314" w14:textId="77777777" w:rsidR="007C7EF4" w:rsidRPr="00CD459A" w:rsidRDefault="007C7EF4" w:rsidP="007C7EF4">
      <w:pPr>
        <w:jc w:val="both"/>
        <w:rPr>
          <w:rFonts w:ascii="Verdana" w:hAnsi="Verdana" w:cs="Arial"/>
          <w:lang w:val="es-ES_tradnl"/>
        </w:rPr>
      </w:pPr>
    </w:p>
    <w:p w14:paraId="3301A263" w14:textId="0F1A0897" w:rsidR="007C7EF4" w:rsidRPr="00CD459A" w:rsidRDefault="007C7EF4"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37" w:name="_Toc515549311"/>
      <w:bookmarkStart w:id="38" w:name="_Toc515549705"/>
      <w:bookmarkStart w:id="39" w:name="_Toc520127167"/>
      <w:bookmarkStart w:id="40" w:name="_Toc529890236"/>
      <w:bookmarkStart w:id="41" w:name="_Toc62483904"/>
      <w:bookmarkStart w:id="42" w:name="_Toc94710191"/>
      <w:r w:rsidRPr="00CD459A">
        <w:rPr>
          <w:rFonts w:ascii="Verdana" w:hAnsi="Verdana" w:cs="Arial"/>
          <w:b/>
          <w:bCs/>
          <w:color w:val="auto"/>
          <w:sz w:val="22"/>
          <w:szCs w:val="22"/>
          <w:lang w:val="es-ES_tradnl"/>
        </w:rPr>
        <w:t>4.1 DEFINICIÓN DE LOS ELEMENTOS QUE CONSTITUYEN LOS ESTADOS FINANCIEROS</w:t>
      </w:r>
      <w:bookmarkEnd w:id="35"/>
      <w:bookmarkEnd w:id="37"/>
      <w:bookmarkEnd w:id="38"/>
      <w:bookmarkEnd w:id="39"/>
      <w:bookmarkEnd w:id="40"/>
      <w:bookmarkEnd w:id="41"/>
      <w:bookmarkEnd w:id="42"/>
    </w:p>
    <w:p w14:paraId="60BF8E00" w14:textId="77777777" w:rsidR="007C7EF4" w:rsidRPr="00CD459A" w:rsidRDefault="007C7EF4" w:rsidP="007C7EF4">
      <w:pPr>
        <w:jc w:val="both"/>
        <w:rPr>
          <w:rFonts w:ascii="Verdana" w:hAnsi="Verdana" w:cs="Arial"/>
          <w:lang w:val="es-ES_tradnl"/>
        </w:rPr>
      </w:pPr>
    </w:p>
    <w:p w14:paraId="2B0DFF7F" w14:textId="0C590614"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eastAsia="es-CO"/>
        </w:rPr>
        <w:t>L</w:t>
      </w:r>
      <w:r w:rsidRPr="00CD459A">
        <w:rPr>
          <w:rFonts w:ascii="Verdana" w:hAnsi="Verdana" w:cs="Arial"/>
          <w:lang w:val="es-ES_tradnl"/>
        </w:rPr>
        <w:t>os estados financieros representan los efectos de las transacciones y otros sucesos agrupados en categorías que comparten características económicas comunes y que corresponden a los elementos de los estados financieros. Los elementos relacionados directamente con la medida de la situación financiera son los activos, los pasivos y el patrimonio, y los elementos directamente relacionados con la medida del rendimiento financiero son los ingresos, los gastos y los costos.</w:t>
      </w:r>
    </w:p>
    <w:p w14:paraId="2BBED220" w14:textId="77777777" w:rsidR="007C7EF4" w:rsidRPr="00CD459A" w:rsidRDefault="007C7EF4" w:rsidP="007C7EF4">
      <w:pPr>
        <w:autoSpaceDE w:val="0"/>
        <w:autoSpaceDN w:val="0"/>
        <w:adjustRightInd w:val="0"/>
        <w:jc w:val="both"/>
        <w:rPr>
          <w:rFonts w:ascii="Verdana" w:hAnsi="Verdana" w:cs="Arial"/>
          <w:lang w:val="es-ES_tradnl"/>
        </w:rPr>
      </w:pPr>
    </w:p>
    <w:p w14:paraId="530F67FA" w14:textId="214A6758"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43" w:name="_Toc482977958"/>
      <w:bookmarkStart w:id="44" w:name="_Toc515549312"/>
      <w:bookmarkStart w:id="45" w:name="_Toc515549706"/>
      <w:bookmarkStart w:id="46" w:name="_Toc520127168"/>
      <w:r w:rsidRPr="00CD459A">
        <w:rPr>
          <w:rFonts w:ascii="Verdana" w:hAnsi="Verdana" w:cs="Arial"/>
          <w:color w:val="auto"/>
          <w:sz w:val="22"/>
          <w:szCs w:val="22"/>
          <w:lang w:val="es-ES_tradnl"/>
        </w:rPr>
        <w:t xml:space="preserve"> </w:t>
      </w:r>
      <w:bookmarkStart w:id="47" w:name="_Toc529890237"/>
      <w:bookmarkStart w:id="48" w:name="_Toc62483905"/>
      <w:bookmarkStart w:id="49" w:name="_Toc94710192"/>
      <w:r w:rsidRPr="00CD459A">
        <w:rPr>
          <w:rFonts w:ascii="Verdana" w:hAnsi="Verdana" w:cs="Arial"/>
          <w:color w:val="auto"/>
          <w:sz w:val="22"/>
          <w:szCs w:val="22"/>
          <w:lang w:val="es-ES_tradnl"/>
        </w:rPr>
        <w:t>4.1.1 Activos</w:t>
      </w:r>
      <w:bookmarkEnd w:id="43"/>
      <w:bookmarkEnd w:id="44"/>
      <w:bookmarkEnd w:id="45"/>
      <w:bookmarkEnd w:id="46"/>
      <w:bookmarkEnd w:id="47"/>
      <w:bookmarkEnd w:id="48"/>
      <w:bookmarkEnd w:id="49"/>
    </w:p>
    <w:p w14:paraId="1114CE8B" w14:textId="77777777" w:rsidR="007C7EF4" w:rsidRPr="00CD459A" w:rsidRDefault="007C7EF4" w:rsidP="007C7EF4">
      <w:pPr>
        <w:ind w:left="720"/>
        <w:jc w:val="both"/>
        <w:rPr>
          <w:rFonts w:ascii="Verdana" w:hAnsi="Verdana" w:cs="Arial"/>
          <w:lang w:val="es-ES_tradnl"/>
        </w:rPr>
      </w:pPr>
    </w:p>
    <w:p w14:paraId="6B0EE603" w14:textId="10C33534"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Los activos son recursos controlados por la entidad, que resultan de un evento pasado y de los cuales se espera obtener un potencial</w:t>
      </w:r>
      <w:r w:rsidRPr="00CD459A">
        <w:rPr>
          <w:rFonts w:ascii="Verdana" w:hAnsi="Verdana" w:cs="Arial"/>
          <w:iCs/>
          <w:lang w:val="es-ES_tradnl" w:eastAsia="es-CO"/>
        </w:rPr>
        <w:t xml:space="preserve"> </w:t>
      </w:r>
      <w:r w:rsidRPr="00CD459A">
        <w:rPr>
          <w:rFonts w:ascii="Verdana" w:hAnsi="Verdana" w:cs="Arial"/>
          <w:lang w:val="es-ES_tradnl" w:eastAsia="es-CO"/>
        </w:rPr>
        <w:t xml:space="preserve">de servicio o generar beneficios económicos futuros. Un recurso controlado es un elemento que otorga, entre otros, un derecho a: </w:t>
      </w:r>
    </w:p>
    <w:p w14:paraId="359AE100" w14:textId="77777777" w:rsidR="007C7EF4" w:rsidRPr="00CD459A" w:rsidRDefault="007C7EF4" w:rsidP="00AB3D96">
      <w:pPr>
        <w:pStyle w:val="Prrafodelista"/>
        <w:numPr>
          <w:ilvl w:val="0"/>
          <w:numId w:val="5"/>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Usar un bien para prestar servicios,</w:t>
      </w:r>
    </w:p>
    <w:p w14:paraId="11B683A9" w14:textId="77777777" w:rsidR="007C7EF4" w:rsidRPr="00CD459A" w:rsidRDefault="007C7EF4" w:rsidP="00AB3D96">
      <w:pPr>
        <w:pStyle w:val="Prrafodelista"/>
        <w:numPr>
          <w:ilvl w:val="0"/>
          <w:numId w:val="5"/>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Ceder el uso para que un tercero preste un servicio,</w:t>
      </w:r>
    </w:p>
    <w:p w14:paraId="21E5A8E3" w14:textId="77777777" w:rsidR="007C7EF4" w:rsidRPr="00CD459A" w:rsidRDefault="007C7EF4" w:rsidP="00AB3D96">
      <w:pPr>
        <w:pStyle w:val="Prrafodelista"/>
        <w:numPr>
          <w:ilvl w:val="0"/>
          <w:numId w:val="5"/>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Convertir el recurso en efectivo a través de su disposición,</w:t>
      </w:r>
    </w:p>
    <w:p w14:paraId="028CD2AD" w14:textId="77777777" w:rsidR="007C7EF4" w:rsidRPr="00CD459A" w:rsidRDefault="007C7EF4" w:rsidP="00AB3D96">
      <w:pPr>
        <w:pStyle w:val="Prrafodelista"/>
        <w:numPr>
          <w:ilvl w:val="0"/>
          <w:numId w:val="5"/>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Beneficiarse de la revalorización de los recursos, o </w:t>
      </w:r>
    </w:p>
    <w:p w14:paraId="6F7AF1E3" w14:textId="77777777" w:rsidR="007C7EF4" w:rsidRPr="00CD459A" w:rsidRDefault="007C7EF4" w:rsidP="00AB3D96">
      <w:pPr>
        <w:pStyle w:val="Prrafodelista"/>
        <w:numPr>
          <w:ilvl w:val="0"/>
          <w:numId w:val="5"/>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Recibir una corriente de flujos de efectivo.</w:t>
      </w:r>
    </w:p>
    <w:p w14:paraId="5A9E96C3" w14:textId="77777777" w:rsidR="007C7EF4" w:rsidRPr="00CD459A" w:rsidRDefault="007C7EF4" w:rsidP="007C7EF4">
      <w:pPr>
        <w:autoSpaceDE w:val="0"/>
        <w:autoSpaceDN w:val="0"/>
        <w:adjustRightInd w:val="0"/>
        <w:ind w:left="709" w:hanging="709"/>
        <w:jc w:val="both"/>
        <w:rPr>
          <w:rFonts w:ascii="Verdana" w:hAnsi="Verdana" w:cs="Arial"/>
          <w:lang w:val="es-ES_tradnl" w:eastAsia="es-CO"/>
        </w:rPr>
      </w:pPr>
    </w:p>
    <w:p w14:paraId="110AAD01" w14:textId="77777777" w:rsidR="007C7EF4" w:rsidRPr="00CD459A" w:rsidRDefault="007C7EF4" w:rsidP="007C7EF4">
      <w:pPr>
        <w:pStyle w:val="Default"/>
        <w:jc w:val="both"/>
        <w:rPr>
          <w:rFonts w:ascii="Verdana" w:hAnsi="Verdana"/>
          <w:color w:val="auto"/>
          <w:sz w:val="22"/>
          <w:szCs w:val="22"/>
          <w:lang w:val="es-ES_tradnl"/>
        </w:rPr>
      </w:pPr>
      <w:r w:rsidRPr="00CD459A">
        <w:rPr>
          <w:rFonts w:ascii="Verdana" w:hAnsi="Verdana"/>
          <w:color w:val="auto"/>
          <w:sz w:val="22"/>
          <w:szCs w:val="22"/>
          <w:lang w:val="es-ES_tradnl"/>
        </w:rPr>
        <w:t>El control implica la capacidad de la entidad para usar un recurso o definir el uso que un tercero debe darle, para obtener potencial de servicio o para generar beneficios económicos futuros. Al evaluar si existe o no control sobre un recurso, una entidad debe tener en cuenta, entre otros aspectos: la titularidad legal, el acceso al recurso o la capacidad de un tercero para negar o restringir su uso, la forma de garantizar que el recurso se use para los fines previstos y la existencia de un derecho exigible sobre el potencial de servicio o sobre la capacidad de generar beneficios económicos derivados del recurso.</w:t>
      </w:r>
    </w:p>
    <w:p w14:paraId="619BC3FF" w14:textId="77777777" w:rsidR="007C7EF4" w:rsidRPr="00CD459A" w:rsidRDefault="007C7EF4" w:rsidP="007C7EF4">
      <w:pPr>
        <w:pStyle w:val="Default"/>
        <w:jc w:val="both"/>
        <w:rPr>
          <w:rFonts w:ascii="Verdana" w:hAnsi="Verdana"/>
          <w:color w:val="auto"/>
          <w:sz w:val="22"/>
          <w:szCs w:val="22"/>
          <w:lang w:val="es-ES_tradnl"/>
        </w:rPr>
      </w:pPr>
    </w:p>
    <w:p w14:paraId="2FBAF62A" w14:textId="77777777" w:rsidR="007C7EF4" w:rsidRPr="00CD459A" w:rsidRDefault="007C7EF4" w:rsidP="007C7EF4">
      <w:pPr>
        <w:pStyle w:val="Default"/>
        <w:jc w:val="both"/>
        <w:rPr>
          <w:rFonts w:ascii="Verdana" w:hAnsi="Verdana"/>
          <w:color w:val="auto"/>
          <w:sz w:val="22"/>
          <w:szCs w:val="22"/>
          <w:lang w:val="es-ES_tradnl"/>
        </w:rPr>
      </w:pPr>
      <w:r w:rsidRPr="00CD459A">
        <w:rPr>
          <w:rFonts w:ascii="Verdana" w:hAnsi="Verdana"/>
          <w:color w:val="auto"/>
          <w:sz w:val="22"/>
          <w:szCs w:val="22"/>
          <w:lang w:val="es-ES_tradnl"/>
        </w:rPr>
        <w:t>En algunas circunstancias, el control del activo es concomitante con la titularidad jurídica del recurso; no obstante, esta última no es esencial a efecto de determinar la existencia del activo y el control sobre este. La titularidad jurídica sobre el activo no necesariamente es suficiente para que se cumplan las condiciones de control. Por ejemplo, una entidad puede ser la dueña jurídica del activo, pero si los riesgos y beneficios asociados al activo se han transferido sustancialmente, dicha entidad no pude reconocer el activo así conservé la titularidad jurídica del mismo.</w:t>
      </w:r>
    </w:p>
    <w:p w14:paraId="32826BA5" w14:textId="77777777" w:rsidR="007C7EF4" w:rsidRPr="00CD459A" w:rsidRDefault="007C7EF4" w:rsidP="007C7EF4">
      <w:pPr>
        <w:jc w:val="both"/>
        <w:rPr>
          <w:rFonts w:ascii="Verdana" w:hAnsi="Verdana" w:cs="Arial"/>
          <w:lang w:val="es-ES_tradnl"/>
        </w:rPr>
      </w:pPr>
    </w:p>
    <w:p w14:paraId="5068703B" w14:textId="10922340"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50" w:name="_Toc482977959"/>
      <w:bookmarkStart w:id="51" w:name="_Toc515549313"/>
      <w:bookmarkStart w:id="52" w:name="_Toc515549707"/>
      <w:bookmarkStart w:id="53" w:name="_Toc520127169"/>
      <w:r w:rsidRPr="00CD459A">
        <w:rPr>
          <w:rFonts w:ascii="Verdana" w:hAnsi="Verdana" w:cs="Arial"/>
          <w:color w:val="auto"/>
          <w:sz w:val="22"/>
          <w:szCs w:val="22"/>
          <w:lang w:val="es-ES_tradnl"/>
        </w:rPr>
        <w:t xml:space="preserve"> </w:t>
      </w:r>
      <w:bookmarkStart w:id="54" w:name="_Toc529890238"/>
      <w:bookmarkStart w:id="55" w:name="_Toc62483906"/>
      <w:bookmarkStart w:id="56" w:name="_Toc94710193"/>
      <w:r w:rsidRPr="00CD459A">
        <w:rPr>
          <w:rFonts w:ascii="Verdana" w:hAnsi="Verdana" w:cs="Arial"/>
          <w:color w:val="auto"/>
          <w:sz w:val="22"/>
          <w:szCs w:val="22"/>
          <w:lang w:val="es-ES_tradnl"/>
        </w:rPr>
        <w:t>4.1.2 Pasivos</w:t>
      </w:r>
      <w:bookmarkEnd w:id="50"/>
      <w:bookmarkEnd w:id="51"/>
      <w:bookmarkEnd w:id="52"/>
      <w:bookmarkEnd w:id="53"/>
      <w:bookmarkEnd w:id="54"/>
      <w:bookmarkEnd w:id="55"/>
      <w:bookmarkEnd w:id="56"/>
    </w:p>
    <w:p w14:paraId="51A678B9" w14:textId="77777777" w:rsidR="007C7EF4" w:rsidRPr="00CD459A" w:rsidRDefault="007C7EF4" w:rsidP="007C7EF4">
      <w:pPr>
        <w:autoSpaceDE w:val="0"/>
        <w:autoSpaceDN w:val="0"/>
        <w:adjustRightInd w:val="0"/>
        <w:jc w:val="both"/>
        <w:rPr>
          <w:rFonts w:ascii="Verdana" w:hAnsi="Verdana" w:cs="Arial"/>
          <w:lang w:val="es-ES_tradnl" w:eastAsia="es-CO"/>
        </w:rPr>
      </w:pPr>
    </w:p>
    <w:p w14:paraId="0C99129E" w14:textId="6D8B5DFB"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Un pasivo es una obligación presente producto de sucesos pasados para cuya cancelación, una vez vencida, la entidad espera desprenderse de recursos que incorporan beneficios económicos o un potencial de servicio.</w:t>
      </w:r>
    </w:p>
    <w:p w14:paraId="676BE195"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Al evaluar si existe o no una obligación presente, </w:t>
      </w:r>
      <w:r w:rsidRPr="00CD459A">
        <w:rPr>
          <w:rFonts w:ascii="Verdana" w:hAnsi="Verdana" w:cs="Arial"/>
          <w:iCs/>
          <w:lang w:val="es-ES_tradnl" w:eastAsia="es-CO"/>
        </w:rPr>
        <w:t xml:space="preserve">la entidad </w:t>
      </w:r>
      <w:r w:rsidRPr="00CD459A">
        <w:rPr>
          <w:rFonts w:ascii="Verdana" w:hAnsi="Verdana" w:cs="Arial"/>
          <w:lang w:val="es-ES_tradnl"/>
        </w:rPr>
        <w:t>se basa en la información disponible al cierre del periodo para establecer si existe la probabilidad de tener o no la obligación; si es mayor la probabilidad de no tenerla, no hay lugar al reconocimiento de un pasivo. Se considera que existe una obligación presente cuando la entidad evalúa que tiene poca o ninguna alternativa de evitar la salida de recursos.</w:t>
      </w:r>
    </w:p>
    <w:p w14:paraId="30B9F516" w14:textId="77777777" w:rsidR="007C7EF4" w:rsidRPr="00CD459A" w:rsidRDefault="007C7EF4" w:rsidP="007C7EF4">
      <w:pPr>
        <w:autoSpaceDE w:val="0"/>
        <w:autoSpaceDN w:val="0"/>
        <w:adjustRightInd w:val="0"/>
        <w:jc w:val="both"/>
        <w:rPr>
          <w:rFonts w:ascii="Verdana" w:hAnsi="Verdana" w:cs="Arial"/>
          <w:lang w:val="es-ES_tradnl"/>
        </w:rPr>
      </w:pPr>
    </w:p>
    <w:p w14:paraId="68FC0C4E" w14:textId="34182726"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57" w:name="_Toc482977960"/>
      <w:bookmarkStart w:id="58" w:name="_Toc515549314"/>
      <w:bookmarkStart w:id="59" w:name="_Toc515549708"/>
      <w:bookmarkStart w:id="60" w:name="_Toc520127170"/>
      <w:r w:rsidRPr="00CD459A">
        <w:rPr>
          <w:rFonts w:ascii="Verdana" w:hAnsi="Verdana" w:cs="Arial"/>
          <w:color w:val="auto"/>
          <w:sz w:val="22"/>
          <w:szCs w:val="22"/>
          <w:lang w:val="es-ES_tradnl"/>
        </w:rPr>
        <w:t xml:space="preserve"> </w:t>
      </w:r>
      <w:bookmarkStart w:id="61" w:name="_Toc529890239"/>
      <w:bookmarkStart w:id="62" w:name="_Toc62483907"/>
      <w:bookmarkStart w:id="63" w:name="_Toc94710194"/>
      <w:r w:rsidRPr="00CD459A">
        <w:rPr>
          <w:rFonts w:ascii="Verdana" w:hAnsi="Verdana" w:cs="Arial"/>
          <w:color w:val="auto"/>
          <w:sz w:val="22"/>
          <w:szCs w:val="22"/>
          <w:lang w:val="es-ES_tradnl"/>
        </w:rPr>
        <w:t>4.1.3 Patrimonio</w:t>
      </w:r>
      <w:bookmarkEnd w:id="57"/>
      <w:bookmarkEnd w:id="58"/>
      <w:bookmarkEnd w:id="59"/>
      <w:bookmarkEnd w:id="60"/>
      <w:bookmarkEnd w:id="61"/>
      <w:bookmarkEnd w:id="62"/>
      <w:bookmarkEnd w:id="63"/>
    </w:p>
    <w:p w14:paraId="2870F8D5" w14:textId="77777777" w:rsidR="007C7EF4" w:rsidRPr="00CD459A" w:rsidRDefault="007C7EF4" w:rsidP="007C7EF4">
      <w:pPr>
        <w:ind w:left="720"/>
        <w:jc w:val="both"/>
        <w:rPr>
          <w:rFonts w:ascii="Verdana" w:hAnsi="Verdana" w:cs="Arial"/>
          <w:lang w:val="es-ES_tradnl"/>
        </w:rPr>
      </w:pPr>
    </w:p>
    <w:p w14:paraId="1106DDD2"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patrimonio comprende el valor de los recursos públicos (representados en bienes y derechos) deducidas las obligaciones, que tiene la entidad de gobierno para cumplir las funciones de cometido estatal.</w:t>
      </w:r>
    </w:p>
    <w:p w14:paraId="4F787DFB" w14:textId="77777777" w:rsidR="007C7EF4" w:rsidRPr="00CD459A" w:rsidRDefault="007C7EF4" w:rsidP="007C7EF4">
      <w:pPr>
        <w:autoSpaceDE w:val="0"/>
        <w:autoSpaceDN w:val="0"/>
        <w:adjustRightInd w:val="0"/>
        <w:jc w:val="both"/>
        <w:rPr>
          <w:rFonts w:ascii="Verdana" w:hAnsi="Verdana" w:cs="Arial"/>
          <w:lang w:val="es-ES_tradnl"/>
        </w:rPr>
      </w:pPr>
    </w:p>
    <w:p w14:paraId="5C85E4F7"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patrimonio de las entidades de gobierno está constituido por los aportes para la creación de la entidad (cuando a ello hubiere lugar), los resultados y otras partidas que, de acuerdo con lo establecido en las Normas para el reconocimiento, medición, revelación y presentación de los hechos económicos, deben reconocerse en el patrimonio.</w:t>
      </w:r>
    </w:p>
    <w:p w14:paraId="17ADCF52" w14:textId="77777777" w:rsidR="007C7EF4" w:rsidRPr="00CD459A" w:rsidRDefault="007C7EF4" w:rsidP="007C7EF4">
      <w:pPr>
        <w:autoSpaceDE w:val="0"/>
        <w:autoSpaceDN w:val="0"/>
        <w:adjustRightInd w:val="0"/>
        <w:jc w:val="both"/>
        <w:rPr>
          <w:rFonts w:ascii="Verdana" w:hAnsi="Verdana" w:cs="Arial"/>
          <w:lang w:val="es-ES_tradnl"/>
        </w:rPr>
      </w:pPr>
    </w:p>
    <w:p w14:paraId="01F72C5F" w14:textId="5D474159"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4" w:name="_Toc482977961"/>
      <w:bookmarkStart w:id="65" w:name="_Toc515549315"/>
      <w:bookmarkStart w:id="66" w:name="_Toc515549709"/>
      <w:bookmarkStart w:id="67" w:name="_Toc520127171"/>
      <w:r w:rsidRPr="00CD459A">
        <w:rPr>
          <w:rFonts w:ascii="Verdana" w:hAnsi="Verdana" w:cs="Arial"/>
          <w:color w:val="auto"/>
          <w:sz w:val="22"/>
          <w:szCs w:val="22"/>
          <w:lang w:val="es-ES_tradnl"/>
        </w:rPr>
        <w:t xml:space="preserve">4.1.4 </w:t>
      </w:r>
      <w:bookmarkStart w:id="68" w:name="_Toc529890240"/>
      <w:bookmarkStart w:id="69" w:name="_Toc62483908"/>
      <w:bookmarkStart w:id="70" w:name="_Toc94710195"/>
      <w:r w:rsidRPr="00CD459A">
        <w:rPr>
          <w:rFonts w:ascii="Verdana" w:hAnsi="Verdana" w:cs="Arial"/>
          <w:color w:val="auto"/>
          <w:sz w:val="22"/>
          <w:szCs w:val="22"/>
          <w:lang w:val="es-ES_tradnl"/>
        </w:rPr>
        <w:t>Ingresos</w:t>
      </w:r>
      <w:bookmarkEnd w:id="64"/>
      <w:bookmarkEnd w:id="65"/>
      <w:bookmarkEnd w:id="66"/>
      <w:bookmarkEnd w:id="67"/>
      <w:bookmarkEnd w:id="68"/>
      <w:bookmarkEnd w:id="69"/>
      <w:bookmarkEnd w:id="70"/>
    </w:p>
    <w:p w14:paraId="026DF91B" w14:textId="77777777" w:rsidR="007C7EF4" w:rsidRPr="00CD459A" w:rsidRDefault="007C7EF4" w:rsidP="007C7EF4">
      <w:pPr>
        <w:autoSpaceDE w:val="0"/>
        <w:autoSpaceDN w:val="0"/>
        <w:adjustRightInd w:val="0"/>
        <w:jc w:val="both"/>
        <w:rPr>
          <w:rFonts w:ascii="Verdana" w:hAnsi="Verdana" w:cs="Arial"/>
          <w:lang w:val="es-ES_tradnl"/>
        </w:rPr>
      </w:pPr>
    </w:p>
    <w:p w14:paraId="4A421962" w14:textId="11A2CD53"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ingresos son los incrementos en los beneficios económicos o en el potencial de servicio producidos a lo largo del periodo contable (bien en forma de entradas o incrementos de valor de los activos, o bien como salidas o decrementos de los pasivos) que dan como resultado aumentos del patrimonio y no están relacionados con los aportes para la creación de la entidad.</w:t>
      </w:r>
    </w:p>
    <w:p w14:paraId="4BA408AA" w14:textId="2DABA266"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Los ingresos de las entidades de gobierno surgen de transacciones con y sin contraprestación. </w:t>
      </w:r>
    </w:p>
    <w:p w14:paraId="1BC6E8C5" w14:textId="2C81F434"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Ingreso </w:t>
      </w:r>
      <w:r w:rsidRPr="00CD459A">
        <w:rPr>
          <w:rFonts w:ascii="Verdana" w:hAnsi="Verdana" w:cs="Arial"/>
        </w:rPr>
        <w:t>proveniente de transacciones</w:t>
      </w:r>
      <w:r w:rsidRPr="00CD459A">
        <w:rPr>
          <w:rFonts w:ascii="Verdana" w:hAnsi="Verdana" w:cs="Arial"/>
          <w:lang w:val="es-ES_tradnl"/>
        </w:rPr>
        <w:t xml:space="preserve"> sin contraprestación: es aquel que recibe la entidad sin que deba entregar a cambio una contraprestación que se aproxime al valor de mercado del recurso recibido, es decir, la entidad no entrega nada a cambio del recurso recibido o, si lo hace, el valor entregado es menor al valor de mercado del recurso recibido. Son ejemplos de estos ingresos las transferencias, tales como traslado de recursos entre entidades de gobierno, asunción de pasivos por parte de terceros, préstamos con tasas subsidiadas y donaciones.</w:t>
      </w:r>
    </w:p>
    <w:p w14:paraId="38DC817E"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rPr>
        <w:t>Ingreso proveniente de transacciones con contraprestación:</w:t>
      </w:r>
      <w:r w:rsidRPr="00CD459A">
        <w:rPr>
          <w:rFonts w:ascii="Verdana" w:hAnsi="Verdana" w:cs="Arial"/>
          <w:lang w:val="es-ES_tradnl"/>
        </w:rPr>
        <w:t xml:space="preserve"> son originados en la venta de bienes, en la prestación de servicios o en el uso que terceros hacen de activos que producen intereses, regalías, arrendamientos, dividendos o participaciones, entre otros.</w:t>
      </w:r>
    </w:p>
    <w:p w14:paraId="7E6093E3" w14:textId="77777777" w:rsidR="007C7EF4" w:rsidRPr="00CD459A" w:rsidRDefault="007C7EF4" w:rsidP="007C7EF4">
      <w:pPr>
        <w:pStyle w:val="Ttulo3"/>
        <w:ind w:left="720"/>
        <w:jc w:val="both"/>
        <w:rPr>
          <w:rFonts w:ascii="Verdana" w:hAnsi="Verdana" w:cs="Arial"/>
          <w:color w:val="auto"/>
          <w:sz w:val="22"/>
          <w:szCs w:val="22"/>
          <w:lang w:val="es-ES_tradnl"/>
        </w:rPr>
      </w:pPr>
    </w:p>
    <w:p w14:paraId="5A1678DA" w14:textId="611B51F4"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71" w:name="_Toc482977962"/>
      <w:bookmarkStart w:id="72" w:name="_Toc515549316"/>
      <w:bookmarkStart w:id="73" w:name="_Toc515549710"/>
      <w:bookmarkStart w:id="74" w:name="_Toc520127172"/>
      <w:r w:rsidRPr="00CD459A">
        <w:rPr>
          <w:rFonts w:ascii="Verdana" w:hAnsi="Verdana" w:cs="Arial"/>
          <w:color w:val="auto"/>
          <w:sz w:val="22"/>
          <w:szCs w:val="22"/>
          <w:lang w:val="es-ES_tradnl"/>
        </w:rPr>
        <w:t xml:space="preserve"> </w:t>
      </w:r>
      <w:bookmarkStart w:id="75" w:name="_Toc529890241"/>
      <w:bookmarkStart w:id="76" w:name="_Toc62483909"/>
      <w:bookmarkStart w:id="77" w:name="_Toc94710196"/>
      <w:r w:rsidRPr="00CD459A">
        <w:rPr>
          <w:rFonts w:ascii="Verdana" w:hAnsi="Verdana" w:cs="Arial"/>
          <w:color w:val="auto"/>
          <w:sz w:val="22"/>
          <w:szCs w:val="22"/>
          <w:lang w:val="es-ES_tradnl"/>
        </w:rPr>
        <w:t>4.1.5 Gastos</w:t>
      </w:r>
      <w:bookmarkEnd w:id="71"/>
      <w:bookmarkEnd w:id="72"/>
      <w:bookmarkEnd w:id="73"/>
      <w:bookmarkEnd w:id="74"/>
      <w:bookmarkEnd w:id="75"/>
      <w:bookmarkEnd w:id="76"/>
      <w:bookmarkEnd w:id="77"/>
    </w:p>
    <w:p w14:paraId="2B273A1C" w14:textId="77777777" w:rsidR="007C7EF4" w:rsidRPr="00CD459A" w:rsidRDefault="007C7EF4" w:rsidP="007C7EF4">
      <w:pPr>
        <w:autoSpaceDE w:val="0"/>
        <w:autoSpaceDN w:val="0"/>
        <w:adjustRightInd w:val="0"/>
        <w:jc w:val="both"/>
        <w:rPr>
          <w:rFonts w:ascii="Verdana" w:hAnsi="Verdana" w:cs="Arial"/>
          <w:lang w:val="es-ES_tradnl"/>
        </w:rPr>
      </w:pPr>
    </w:p>
    <w:p w14:paraId="1AED01C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gastos son los decrementos en los beneficios económicos o en el potencial de servicio producidos a lo largo del periodo contable (bien en forma de salidas o disminuciones del valor de los activos, o bien por la generación o aumento de los pasivos) que dan como resultado decrementos en el patrimonio y no están asociados con la adquisición o producción de bienes y la prestación de servicios, vendidos, ni con la distribución de excedentes.</w:t>
      </w:r>
    </w:p>
    <w:p w14:paraId="20C95F5C" w14:textId="77777777" w:rsidR="007C7EF4" w:rsidRPr="00CD459A" w:rsidRDefault="007C7EF4" w:rsidP="007C7EF4">
      <w:pPr>
        <w:pStyle w:val="Ttulo2"/>
        <w:keepLines w:val="0"/>
        <w:widowControl w:val="0"/>
        <w:numPr>
          <w:ilvl w:val="1"/>
          <w:numId w:val="0"/>
        </w:numPr>
        <w:spacing w:before="0" w:line="240" w:lineRule="auto"/>
        <w:ind w:left="576" w:hanging="576"/>
        <w:jc w:val="both"/>
        <w:rPr>
          <w:rFonts w:ascii="Verdana" w:hAnsi="Verdana" w:cs="Arial"/>
          <w:color w:val="auto"/>
          <w:sz w:val="22"/>
          <w:szCs w:val="22"/>
          <w:lang w:val="es-ES_tradnl"/>
        </w:rPr>
      </w:pPr>
      <w:bookmarkStart w:id="78" w:name="_Toc482977964"/>
      <w:bookmarkStart w:id="79" w:name="_Toc515549318"/>
      <w:bookmarkStart w:id="80" w:name="_Toc515549712"/>
      <w:bookmarkStart w:id="81" w:name="_Toc520127174"/>
      <w:bookmarkStart w:id="82" w:name="_Toc529890243"/>
      <w:bookmarkStart w:id="83" w:name="_Toc62483910"/>
      <w:bookmarkStart w:id="84" w:name="_Toc94710197"/>
    </w:p>
    <w:p w14:paraId="21580D38" w14:textId="256F0D47" w:rsidR="007C7EF4" w:rsidRPr="00CD459A" w:rsidRDefault="007C7EF4"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r w:rsidRPr="00CD459A">
        <w:rPr>
          <w:rFonts w:ascii="Verdana" w:hAnsi="Verdana" w:cs="Arial"/>
          <w:b/>
          <w:bCs/>
          <w:color w:val="auto"/>
          <w:sz w:val="22"/>
          <w:szCs w:val="22"/>
          <w:lang w:val="es-ES_tradnl"/>
        </w:rPr>
        <w:t>4.2 RECONOCIMIENTO DE LOS ELEMENTOS EN LOS ESTADOS FINANCIEROS</w:t>
      </w:r>
      <w:bookmarkEnd w:id="78"/>
      <w:bookmarkEnd w:id="79"/>
      <w:bookmarkEnd w:id="80"/>
      <w:bookmarkEnd w:id="81"/>
      <w:bookmarkEnd w:id="82"/>
      <w:bookmarkEnd w:id="83"/>
      <w:bookmarkEnd w:id="84"/>
    </w:p>
    <w:p w14:paraId="49FFDA09" w14:textId="77777777" w:rsidR="007C7EF4" w:rsidRPr="00CD459A" w:rsidRDefault="007C7EF4" w:rsidP="007C7EF4">
      <w:pPr>
        <w:autoSpaceDE w:val="0"/>
        <w:autoSpaceDN w:val="0"/>
        <w:adjustRightInd w:val="0"/>
        <w:jc w:val="both"/>
        <w:rPr>
          <w:rFonts w:ascii="Verdana" w:hAnsi="Verdana" w:cs="Arial"/>
          <w:lang w:val="es-ES_tradnl" w:eastAsia="es-CO"/>
        </w:rPr>
      </w:pPr>
    </w:p>
    <w:p w14:paraId="775C6A0D"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Se denomina reconocimiento al proceso de incorporación, en el estado de situación financiera o en el estado de resultados, de un hecho económico que cumpla con la definición de activo, pasivo, patrimonio, ingreso, costo o gasto, que tenga la probabilidad de generar una entrada o salida de beneficios económicos o potencial de servicio asociado y que tenga un valor que se pueda medir con fiabilidad.</w:t>
      </w:r>
    </w:p>
    <w:p w14:paraId="2F5D6C4F"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 </w:t>
      </w:r>
    </w:p>
    <w:p w14:paraId="59B9C287" w14:textId="4EF4675D"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 xml:space="preserve">La probabilidad, como condición para el reconocimiento, se utiliza con referencia al grado de incertidumbre con que los beneficios económicos futuros o el potencial de servicio asociados llegarán o saldrán de la entidad. La evaluación del grado de incertidumbre correspondiente al flujo de los beneficios futuros o del potencial de servicio se hace a partir de la evidencia disponible cuando se preparan los estados financieros. </w:t>
      </w:r>
      <w:r w:rsidRPr="00CD459A">
        <w:rPr>
          <w:rFonts w:ascii="Verdana" w:hAnsi="Verdana" w:cs="Arial"/>
        </w:rPr>
        <w:t>Así, por ejemplo, cuando es probable que el deudor cancele una cuenta por cobrar, es justificable reconocer tal cuenta por cobrar como un activo. No obstante, algunas cuentas por cobrar podrían no ser canceladas y, por tanto, se reconoce un gasto que represente la reducción esperada en el valor del recurso.</w:t>
      </w:r>
    </w:p>
    <w:p w14:paraId="378B5FC1" w14:textId="112E4722"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 xml:space="preserve">La medición fiable, como criterio para el reconocimiento, implica que un elemento tiene un valor que se puede determinar con razonabilidad. En muchas ocasiones, el valor se debe estimar; por ello, la utilización de estimaciones razonables es una parte esencial en la elaboración de los estados financieros y no menoscaba su fiabilidad. Sin embargo, cuando no se puede hacer una estimación razonable, la partida no se reconoce. </w:t>
      </w:r>
    </w:p>
    <w:p w14:paraId="0BC2B1A2" w14:textId="3946297E"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El no reconocimiento de un elemento en el estado de situación financiera o en el estado de resultado no se subsana revelando las políticas contables seguidas ni a través de notas u otro material explicativo. Sin embargo, la revelación puede proporcionar información sobre los elementos que cumplen algunas, aunque no todas, las características de su definición. La revelación también brinda información sobre los elementos que cumplen la definición pero que no se pueden medir fiablemente; en estos casos, la revelación es apropiada porque proporciona información relevante para la evaluación de la situación financiera neta de la entidad.</w:t>
      </w:r>
    </w:p>
    <w:p w14:paraId="07697178"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472539D7" w14:textId="245C0ADF"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85" w:name="_Toc515549319"/>
      <w:bookmarkStart w:id="86" w:name="_Toc515549713"/>
      <w:bookmarkStart w:id="87" w:name="_Toc520127175"/>
      <w:r w:rsidRPr="00CD459A">
        <w:rPr>
          <w:rFonts w:ascii="Verdana" w:hAnsi="Verdana" w:cs="Arial"/>
          <w:color w:val="auto"/>
          <w:sz w:val="22"/>
          <w:szCs w:val="22"/>
          <w:lang w:val="es-ES_tradnl"/>
        </w:rPr>
        <w:t xml:space="preserve"> </w:t>
      </w:r>
      <w:bookmarkStart w:id="88" w:name="_Toc529890244"/>
      <w:bookmarkStart w:id="89" w:name="_Toc62483911"/>
      <w:bookmarkStart w:id="90" w:name="_Toc94710198"/>
      <w:r w:rsidRPr="00CD459A">
        <w:rPr>
          <w:rFonts w:ascii="Verdana" w:hAnsi="Verdana" w:cs="Arial"/>
          <w:color w:val="auto"/>
          <w:sz w:val="22"/>
          <w:szCs w:val="22"/>
          <w:lang w:val="es-ES_tradnl"/>
        </w:rPr>
        <w:t>4.2.1 Reconocimiento de activos</w:t>
      </w:r>
      <w:bookmarkEnd w:id="85"/>
      <w:bookmarkEnd w:id="86"/>
      <w:bookmarkEnd w:id="87"/>
      <w:bookmarkEnd w:id="88"/>
      <w:bookmarkEnd w:id="89"/>
      <w:bookmarkEnd w:id="90"/>
    </w:p>
    <w:p w14:paraId="7A28CA77" w14:textId="77777777" w:rsidR="007C7EF4" w:rsidRPr="00CD459A" w:rsidRDefault="007C7EF4" w:rsidP="007C7EF4">
      <w:pPr>
        <w:ind w:left="720"/>
        <w:jc w:val="both"/>
        <w:rPr>
          <w:rFonts w:ascii="Verdana" w:eastAsia="Calibri" w:hAnsi="Verdana" w:cs="Arial"/>
          <w:lang w:val="es-ES_tradnl"/>
        </w:rPr>
      </w:pPr>
    </w:p>
    <w:p w14:paraId="09EC1D83"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Se reconocerán como activos, los recursos controlados por la entidad, que resulten de un evento pasado y de los cuales se espere obtener un potencial de servicio o generar beneficios económicos futuros, siempre que el valor del recurso pueda medirse fiablemente.</w:t>
      </w:r>
    </w:p>
    <w:p w14:paraId="4234DBD1"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70B80C80" w14:textId="3A30BB2B"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Cuando no exista probabilidad de que el recurso tenga un potencial de servicio o genere beneficios económicos futuros, la entidad reconocerá un gasto en el estado de resultados. Este tratamiento contable no indica que, al hacer el desembolso, la entidad no tuviera la intención de generar un potencial de servicio o beneficios económicos en el futuro, sino que la certeza, en el periodo, es insuficiente para justificar el reconocimiento del activo.</w:t>
      </w:r>
    </w:p>
    <w:p w14:paraId="7B2D6E36"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5FC473D9" w14:textId="28C58CC8"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91" w:name="_Toc515549320"/>
      <w:bookmarkStart w:id="92" w:name="_Toc515549714"/>
      <w:bookmarkStart w:id="93" w:name="_Toc520127176"/>
      <w:r w:rsidRPr="00CD459A">
        <w:rPr>
          <w:rFonts w:ascii="Verdana" w:hAnsi="Verdana" w:cs="Arial"/>
          <w:color w:val="auto"/>
          <w:sz w:val="22"/>
          <w:szCs w:val="22"/>
          <w:lang w:val="es-ES_tradnl"/>
        </w:rPr>
        <w:t xml:space="preserve"> </w:t>
      </w:r>
      <w:bookmarkStart w:id="94" w:name="_Toc529890245"/>
      <w:bookmarkStart w:id="95" w:name="_Toc62483912"/>
      <w:bookmarkStart w:id="96" w:name="_Toc94710199"/>
      <w:r w:rsidRPr="00CD459A">
        <w:rPr>
          <w:rFonts w:ascii="Verdana" w:hAnsi="Verdana" w:cs="Arial"/>
          <w:color w:val="auto"/>
          <w:sz w:val="22"/>
          <w:szCs w:val="22"/>
          <w:lang w:val="es-ES_tradnl"/>
        </w:rPr>
        <w:t>4.2.2 Reconocimiento de pasivos</w:t>
      </w:r>
      <w:bookmarkEnd w:id="91"/>
      <w:bookmarkEnd w:id="92"/>
      <w:bookmarkEnd w:id="93"/>
      <w:bookmarkEnd w:id="94"/>
      <w:bookmarkEnd w:id="95"/>
      <w:bookmarkEnd w:id="96"/>
    </w:p>
    <w:p w14:paraId="0E9D400D" w14:textId="77777777" w:rsidR="007C7EF4" w:rsidRPr="00CD459A" w:rsidRDefault="007C7EF4" w:rsidP="007C7EF4">
      <w:pPr>
        <w:ind w:left="720"/>
        <w:jc w:val="both"/>
        <w:rPr>
          <w:rFonts w:ascii="Verdana" w:eastAsia="Calibri" w:hAnsi="Verdana" w:cs="Arial"/>
          <w:lang w:val="es-ES_tradnl"/>
        </w:rPr>
      </w:pPr>
    </w:p>
    <w:p w14:paraId="41AEDBA2"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Se reconocerán como pasivos, las obligaciones presentes que tenga la entidad, que hayan surgido de eventos pasados y que, para liquidarlas la entidad deba desprenderse de recursos que incorporan un potencial de servicio o beneficios económicos futuros, siempre que el valor de la obligación pueda medirse fiablemente.</w:t>
      </w:r>
    </w:p>
    <w:p w14:paraId="6C2CB66F" w14:textId="77777777" w:rsidR="007C7EF4" w:rsidRPr="00CD459A" w:rsidRDefault="007C7EF4" w:rsidP="007C7EF4">
      <w:pPr>
        <w:pStyle w:val="Ttulo3"/>
        <w:ind w:left="720"/>
        <w:jc w:val="both"/>
        <w:rPr>
          <w:rFonts w:ascii="Verdana" w:eastAsia="Calibri" w:hAnsi="Verdana" w:cs="Arial"/>
          <w:color w:val="auto"/>
          <w:sz w:val="22"/>
          <w:szCs w:val="22"/>
          <w:lang w:val="es-ES_tradnl"/>
        </w:rPr>
      </w:pPr>
    </w:p>
    <w:p w14:paraId="0A5F9F56" w14:textId="6E7C0379"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97" w:name="_Toc515549321"/>
      <w:bookmarkStart w:id="98" w:name="_Toc515549715"/>
      <w:bookmarkStart w:id="99" w:name="_Toc520127177"/>
      <w:r w:rsidRPr="00CD459A">
        <w:rPr>
          <w:rFonts w:ascii="Verdana" w:hAnsi="Verdana" w:cs="Arial"/>
          <w:color w:val="auto"/>
          <w:sz w:val="22"/>
          <w:szCs w:val="22"/>
          <w:lang w:val="es-ES_tradnl"/>
        </w:rPr>
        <w:t xml:space="preserve"> 4.2.3 </w:t>
      </w:r>
      <w:bookmarkStart w:id="100" w:name="_Toc529890246"/>
      <w:bookmarkStart w:id="101" w:name="_Toc62483913"/>
      <w:bookmarkStart w:id="102" w:name="_Toc94710200"/>
      <w:r w:rsidRPr="00CD459A">
        <w:rPr>
          <w:rFonts w:ascii="Verdana" w:hAnsi="Verdana" w:cs="Arial"/>
          <w:color w:val="auto"/>
          <w:sz w:val="22"/>
          <w:szCs w:val="22"/>
          <w:lang w:val="es-ES_tradnl"/>
        </w:rPr>
        <w:t>Reconocimiento de ingresos</w:t>
      </w:r>
      <w:bookmarkEnd w:id="97"/>
      <w:bookmarkEnd w:id="98"/>
      <w:bookmarkEnd w:id="99"/>
      <w:bookmarkEnd w:id="100"/>
      <w:bookmarkEnd w:id="101"/>
      <w:bookmarkEnd w:id="102"/>
    </w:p>
    <w:p w14:paraId="11706602" w14:textId="77777777" w:rsidR="007C7EF4" w:rsidRPr="00CD459A" w:rsidRDefault="007C7EF4" w:rsidP="007C7EF4">
      <w:pPr>
        <w:ind w:left="720"/>
        <w:jc w:val="both"/>
        <w:rPr>
          <w:rFonts w:ascii="Verdana" w:eastAsia="Calibri" w:hAnsi="Verdana" w:cs="Arial"/>
          <w:lang w:val="es-ES_tradnl"/>
        </w:rPr>
      </w:pPr>
    </w:p>
    <w:p w14:paraId="2006244F"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Se reconocerán como ingresos, los incrementos en los beneficios económicos o en el potencial de servicio producidos a lo largo del periodo contable (bien en forma de entradas o incrementos de valor de los activos, o bien como salidas o decrementos de los pasivos) que dan como resultado aumentos del patrimonio y que no están relacionados con los aportes para la creación de la entidad. Para que el ingreso se pueda reconocer, la partida debe medirse fiablemente.</w:t>
      </w:r>
    </w:p>
    <w:p w14:paraId="26ABAC6A"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23021D73"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Esto significa que el reconocimiento del ingreso ocurre simultáneamente con el reconocimiento de incrementos en el valor de los activos o con la disminución de los pasivos</w:t>
      </w:r>
      <w:r w:rsidRPr="00CD459A">
        <w:rPr>
          <w:rFonts w:ascii="Verdana" w:hAnsi="Verdana" w:cs="Arial"/>
        </w:rPr>
        <w:t>; por ejemplo, el reconocimiento del ingreso ocurre junto con el incremento neto de activos derivado de una venta de bienes o servicios, o junto con la disminución en los pasivos resultado de la renuncia o extinción del derecho de cobro por parte del acreedor.</w:t>
      </w:r>
    </w:p>
    <w:p w14:paraId="23308E6F"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18D50102" w14:textId="553A6347"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03" w:name="_Toc515549322"/>
      <w:bookmarkStart w:id="104" w:name="_Toc515549716"/>
      <w:bookmarkStart w:id="105" w:name="_Toc520127178"/>
      <w:r w:rsidRPr="00CD459A">
        <w:rPr>
          <w:rFonts w:ascii="Verdana" w:hAnsi="Verdana" w:cs="Arial"/>
          <w:color w:val="auto"/>
          <w:sz w:val="22"/>
          <w:szCs w:val="22"/>
          <w:lang w:val="es-ES_tradnl"/>
        </w:rPr>
        <w:t xml:space="preserve"> </w:t>
      </w:r>
      <w:bookmarkStart w:id="106" w:name="_Toc529890247"/>
      <w:bookmarkStart w:id="107" w:name="_Toc62483914"/>
      <w:bookmarkStart w:id="108" w:name="_Toc94710201"/>
      <w:r w:rsidRPr="00CD459A">
        <w:rPr>
          <w:rFonts w:ascii="Verdana" w:hAnsi="Verdana" w:cs="Arial"/>
          <w:color w:val="auto"/>
          <w:sz w:val="22"/>
          <w:szCs w:val="22"/>
          <w:lang w:val="es-ES_tradnl"/>
        </w:rPr>
        <w:t>4.2.4 Reconocimiento de gastos y costos</w:t>
      </w:r>
      <w:bookmarkEnd w:id="103"/>
      <w:bookmarkEnd w:id="104"/>
      <w:bookmarkEnd w:id="105"/>
      <w:bookmarkEnd w:id="106"/>
      <w:bookmarkEnd w:id="107"/>
      <w:bookmarkEnd w:id="108"/>
    </w:p>
    <w:p w14:paraId="3E94648C"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5DE218E3"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Se reconocerán como costos o gastos, los decrementos en los beneficios económicos o en el potencial de servicio relacionados con la salida o la disminución del valor de los activos o con el incremento en los pasivos, cuando el costo o el gasto pueda medirse con fiabilidad.</w:t>
      </w:r>
    </w:p>
    <w:p w14:paraId="45E1A7FD"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eastAsia="Calibri" w:hAnsi="Verdana" w:cs="Arial"/>
          <w:lang w:val="es-ES_tradnl"/>
        </w:rPr>
        <w:t>Esto significa que el reconocimiento de los costos y los gastos ocurre simultáneamente con el reconocimiento de aumentos en los pasivos o disminuciones en los activos.</w:t>
      </w:r>
    </w:p>
    <w:p w14:paraId="7CF6617C" w14:textId="77777777" w:rsidR="007C7EF4" w:rsidRPr="00CD459A" w:rsidRDefault="007C7EF4" w:rsidP="007C7EF4">
      <w:pPr>
        <w:autoSpaceDE w:val="0"/>
        <w:autoSpaceDN w:val="0"/>
        <w:adjustRightInd w:val="0"/>
        <w:jc w:val="both"/>
        <w:rPr>
          <w:rFonts w:ascii="Verdana" w:eastAsia="Calibri" w:hAnsi="Verdana" w:cs="Arial"/>
          <w:lang w:val="es-ES_tradnl"/>
        </w:rPr>
      </w:pPr>
      <w:r w:rsidRPr="00CD459A">
        <w:rPr>
          <w:rFonts w:ascii="Verdana" w:hAnsi="Verdana" w:cs="Arial"/>
        </w:rPr>
        <w:t>Si el potencial de servicio de un activo o los beneficios económicos que provienen del mismo cubren más de un periodo contable, los costos y gastos se reconocerán utilizando procedimientos sistemáticos y racionales de distribución. Esto es necesario para el reconocimiento de los costos y gastos relacionados con el uso de activos, tales como propiedades, planta y equipo e intangibles. En estos casos, el costo o gasto correspondiente se denomina depreciación o amortización. Los procedimientos de distribución estarán diseñados a fin de que se reconozca el costo o gasto en los periodos contables en que se consuma el potencial de servicio o se generen los beneficios económicos relacionados con estos recursos.</w:t>
      </w:r>
    </w:p>
    <w:p w14:paraId="1306C451" w14:textId="77777777" w:rsidR="007C7EF4" w:rsidRPr="00CD459A" w:rsidRDefault="007C7EF4" w:rsidP="007C7EF4">
      <w:pPr>
        <w:autoSpaceDE w:val="0"/>
        <w:autoSpaceDN w:val="0"/>
        <w:adjustRightInd w:val="0"/>
        <w:jc w:val="both"/>
        <w:rPr>
          <w:rFonts w:ascii="Verdana" w:eastAsia="Calibri" w:hAnsi="Verdana" w:cs="Arial"/>
          <w:lang w:val="es-ES_tradnl"/>
        </w:rPr>
      </w:pPr>
    </w:p>
    <w:p w14:paraId="05A60B0E" w14:textId="2982190B" w:rsidR="007C7EF4" w:rsidRPr="00CD459A" w:rsidRDefault="007C7EF4"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109" w:name="_Toc482977965"/>
      <w:bookmarkStart w:id="110" w:name="_Toc515549323"/>
      <w:bookmarkStart w:id="111" w:name="_Toc515549717"/>
      <w:bookmarkStart w:id="112" w:name="_Toc520127179"/>
      <w:bookmarkStart w:id="113" w:name="_Toc529890248"/>
      <w:bookmarkStart w:id="114" w:name="_Toc62483915"/>
      <w:bookmarkStart w:id="115" w:name="_Toc94710202"/>
      <w:r w:rsidRPr="00CD459A">
        <w:rPr>
          <w:rFonts w:ascii="Verdana" w:hAnsi="Verdana" w:cs="Arial"/>
          <w:b/>
          <w:bCs/>
          <w:color w:val="auto"/>
          <w:sz w:val="22"/>
          <w:szCs w:val="22"/>
          <w:lang w:val="es-ES_tradnl"/>
        </w:rPr>
        <w:t>4.3 MEDICIÓN DE LOS ELEMENTOS EN LOS ESTADOS FINANCIEROS</w:t>
      </w:r>
      <w:bookmarkEnd w:id="109"/>
      <w:bookmarkEnd w:id="110"/>
      <w:bookmarkEnd w:id="111"/>
      <w:bookmarkEnd w:id="112"/>
      <w:bookmarkEnd w:id="113"/>
      <w:bookmarkEnd w:id="114"/>
      <w:bookmarkEnd w:id="115"/>
    </w:p>
    <w:p w14:paraId="4E02D155" w14:textId="77777777" w:rsidR="007C7EF4" w:rsidRPr="00CD459A" w:rsidRDefault="007C7EF4" w:rsidP="007C7EF4">
      <w:pPr>
        <w:autoSpaceDE w:val="0"/>
        <w:autoSpaceDN w:val="0"/>
        <w:adjustRightInd w:val="0"/>
        <w:jc w:val="both"/>
        <w:rPr>
          <w:rFonts w:ascii="Verdana" w:hAnsi="Verdana" w:cs="Arial"/>
          <w:lang w:val="es-ES_tradnl" w:eastAsia="es-CO"/>
        </w:rPr>
      </w:pPr>
    </w:p>
    <w:p w14:paraId="5D257B06" w14:textId="77777777" w:rsidR="007C7EF4" w:rsidRPr="00CD459A" w:rsidRDefault="007C7EF4" w:rsidP="007C7EF4">
      <w:pPr>
        <w:jc w:val="both"/>
        <w:rPr>
          <w:rFonts w:ascii="Verdana" w:hAnsi="Verdana" w:cs="Arial"/>
        </w:rPr>
      </w:pPr>
      <w:r w:rsidRPr="00CD459A">
        <w:rPr>
          <w:rFonts w:ascii="Verdana" w:hAnsi="Verdana" w:cs="Arial"/>
        </w:rPr>
        <w:t>Para reconocer un elemento en los estados financieros, este debe tener un valor que se haya determinado con fiabilidad. La medición es el proceso mediante el cual se asigna un valor monetario al elemento. Este proceso se lleva a cabo en dos momentos diferentes: en el reconocimiento y en la medición posterior.</w:t>
      </w:r>
    </w:p>
    <w:p w14:paraId="01ED8A86" w14:textId="77777777" w:rsidR="007C7EF4" w:rsidRPr="00CD459A" w:rsidRDefault="007C7EF4" w:rsidP="007C7EF4">
      <w:pPr>
        <w:jc w:val="both"/>
        <w:rPr>
          <w:rFonts w:ascii="Verdana" w:hAnsi="Verdana" w:cs="Arial"/>
        </w:rPr>
      </w:pPr>
    </w:p>
    <w:p w14:paraId="10E7D507" w14:textId="77777777" w:rsidR="007C7EF4" w:rsidRPr="00CD459A" w:rsidRDefault="007C7EF4" w:rsidP="007C7EF4">
      <w:pPr>
        <w:autoSpaceDE w:val="0"/>
        <w:autoSpaceDN w:val="0"/>
        <w:adjustRightInd w:val="0"/>
        <w:jc w:val="both"/>
        <w:rPr>
          <w:rFonts w:ascii="Verdana" w:hAnsi="Verdana" w:cs="Arial"/>
        </w:rPr>
      </w:pPr>
      <w:r w:rsidRPr="00CD459A">
        <w:rPr>
          <w:rFonts w:ascii="Verdana" w:hAnsi="Verdana" w:cs="Arial"/>
        </w:rPr>
        <w:t>En el reconocimiento, la medición de un elemento permite su incorporación en los estados financieros. Dependiendo de lo establecido en las normas para el reconocimiento, medición, revelación y presentación de los hechos económicos y con el fin de lograr una representación fiel, el valor de este elemento puede ser objeto de ajuste según un criterio de medición diferente al utilizado en el reconocimiento.</w:t>
      </w:r>
    </w:p>
    <w:p w14:paraId="28E436AD" w14:textId="77777777" w:rsidR="007C7EF4" w:rsidRPr="00CD459A" w:rsidRDefault="007C7EF4" w:rsidP="007C7EF4">
      <w:pPr>
        <w:autoSpaceDE w:val="0"/>
        <w:autoSpaceDN w:val="0"/>
        <w:adjustRightInd w:val="0"/>
        <w:jc w:val="both"/>
        <w:rPr>
          <w:rFonts w:ascii="Verdana" w:hAnsi="Verdana" w:cs="Arial"/>
        </w:rPr>
      </w:pPr>
    </w:p>
    <w:p w14:paraId="5612601D"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Los criterios de medición se pueden clasificar dependiendo si son valores de entrada o salida, si son observables o no en un mercado abierto, y si son Mediciones específicas o no para una entidad. Es de anotar que cada política específica indica las consideraciones para tener en cuenta para las Mediciones.</w:t>
      </w:r>
    </w:p>
    <w:p w14:paraId="19FE2D80" w14:textId="77777777" w:rsidR="007C7EF4" w:rsidRPr="00CD459A" w:rsidRDefault="007C7EF4" w:rsidP="007C7EF4">
      <w:pPr>
        <w:pStyle w:val="Ttulo3"/>
        <w:ind w:left="720"/>
        <w:jc w:val="both"/>
        <w:rPr>
          <w:rFonts w:ascii="Verdana" w:hAnsi="Verdana" w:cs="Arial"/>
          <w:color w:val="auto"/>
          <w:sz w:val="22"/>
          <w:szCs w:val="22"/>
          <w:lang w:val="es-ES_tradnl" w:eastAsia="es-CO"/>
        </w:rPr>
      </w:pPr>
    </w:p>
    <w:p w14:paraId="47244FBB" w14:textId="701D7C41"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16" w:name="_Toc482977966"/>
      <w:bookmarkStart w:id="117" w:name="_Toc515549324"/>
      <w:bookmarkStart w:id="118" w:name="_Toc515549718"/>
      <w:bookmarkStart w:id="119" w:name="_Toc520127180"/>
      <w:r w:rsidRPr="00CD459A">
        <w:rPr>
          <w:rFonts w:ascii="Verdana" w:hAnsi="Verdana" w:cs="Arial"/>
          <w:color w:val="auto"/>
          <w:sz w:val="22"/>
          <w:szCs w:val="22"/>
          <w:lang w:val="es-ES_tradnl"/>
        </w:rPr>
        <w:t xml:space="preserve"> </w:t>
      </w:r>
      <w:bookmarkStart w:id="120" w:name="_Toc529890249"/>
      <w:bookmarkStart w:id="121" w:name="_Toc62483916"/>
      <w:bookmarkStart w:id="122" w:name="_Toc94710203"/>
      <w:r w:rsidR="002F75DB" w:rsidRPr="00CD459A">
        <w:rPr>
          <w:rFonts w:ascii="Verdana" w:hAnsi="Verdana" w:cs="Arial"/>
          <w:color w:val="auto"/>
          <w:sz w:val="22"/>
          <w:szCs w:val="22"/>
          <w:lang w:val="es-ES_tradnl"/>
        </w:rPr>
        <w:t xml:space="preserve">4.3.1 </w:t>
      </w:r>
      <w:r w:rsidRPr="00CD459A">
        <w:rPr>
          <w:rFonts w:ascii="Verdana" w:hAnsi="Verdana" w:cs="Arial"/>
          <w:color w:val="auto"/>
          <w:sz w:val="22"/>
          <w:szCs w:val="22"/>
          <w:lang w:val="es-ES_tradnl"/>
        </w:rPr>
        <w:t>Valores de entrada y de salida</w:t>
      </w:r>
      <w:bookmarkEnd w:id="116"/>
      <w:bookmarkEnd w:id="117"/>
      <w:bookmarkEnd w:id="118"/>
      <w:bookmarkEnd w:id="119"/>
      <w:bookmarkEnd w:id="120"/>
      <w:bookmarkEnd w:id="121"/>
      <w:bookmarkEnd w:id="122"/>
    </w:p>
    <w:p w14:paraId="571396AB" w14:textId="77777777" w:rsidR="007C7EF4" w:rsidRPr="00CD459A" w:rsidRDefault="007C7EF4" w:rsidP="007C7EF4">
      <w:pPr>
        <w:ind w:left="720"/>
        <w:jc w:val="both"/>
        <w:rPr>
          <w:rFonts w:ascii="Verdana" w:hAnsi="Verdana" w:cs="Arial"/>
          <w:lang w:val="es-ES_tradnl"/>
        </w:rPr>
      </w:pPr>
    </w:p>
    <w:p w14:paraId="258800E1"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Los criterios de medición pueden ser valores de entrada o de salida. Los valores de entrada reflejan los costos en los que se incurre o en los que se podría incurrir para adquirir o reponer un activo. Los valores de salida reflejan el potencial de servicio o los beneficios económicos derivados del uso continuado de un activo o de su venta. Los valores de entrada y de salida pueden diferir por aspectos tales como: </w:t>
      </w:r>
    </w:p>
    <w:p w14:paraId="6D967AA6" w14:textId="77777777" w:rsidR="007C7EF4" w:rsidRPr="00CD459A" w:rsidRDefault="007C7EF4" w:rsidP="007C7EF4">
      <w:pPr>
        <w:autoSpaceDE w:val="0"/>
        <w:autoSpaceDN w:val="0"/>
        <w:adjustRightInd w:val="0"/>
        <w:jc w:val="both"/>
        <w:rPr>
          <w:rFonts w:ascii="Verdana" w:hAnsi="Verdana" w:cs="Arial"/>
          <w:lang w:val="es-ES_tradnl" w:eastAsia="es-CO"/>
        </w:rPr>
      </w:pPr>
    </w:p>
    <w:p w14:paraId="40EC1403" w14:textId="77777777" w:rsidR="007C7EF4" w:rsidRPr="00CD459A" w:rsidRDefault="007C7EF4" w:rsidP="00AB3D96">
      <w:pPr>
        <w:pStyle w:val="Prrafodelista"/>
        <w:numPr>
          <w:ilvl w:val="0"/>
          <w:numId w:val="6"/>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Recursos que se transan en mercados intermediados; </w:t>
      </w:r>
    </w:p>
    <w:p w14:paraId="3BC88B89" w14:textId="77777777" w:rsidR="007C7EF4" w:rsidRPr="00CD459A" w:rsidRDefault="007C7EF4" w:rsidP="00AB3D96">
      <w:pPr>
        <w:pStyle w:val="Prrafodelista"/>
        <w:numPr>
          <w:ilvl w:val="0"/>
          <w:numId w:val="6"/>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Activos adaptados a los requisitos de funcionamiento particulares de la entidad por los cuales otros participantes del mercado no estarían dispuestos a pagar un precio similar; </w:t>
      </w:r>
    </w:p>
    <w:p w14:paraId="179DD572" w14:textId="77777777" w:rsidR="007C7EF4" w:rsidRPr="00CD459A" w:rsidRDefault="007C7EF4" w:rsidP="00AB3D96">
      <w:pPr>
        <w:pStyle w:val="Prrafodelista"/>
        <w:numPr>
          <w:ilvl w:val="0"/>
          <w:numId w:val="6"/>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Costos de transacción en los que se haya incurrido; </w:t>
      </w:r>
    </w:p>
    <w:p w14:paraId="1D12459E" w14:textId="77777777" w:rsidR="007C7EF4" w:rsidRPr="00CD459A" w:rsidRDefault="007C7EF4" w:rsidP="00AB3D96">
      <w:pPr>
        <w:pStyle w:val="Prrafodelista"/>
        <w:numPr>
          <w:ilvl w:val="0"/>
          <w:numId w:val="6"/>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Existencia de mercados activos para transar activos y </w:t>
      </w:r>
    </w:p>
    <w:p w14:paraId="610571A6" w14:textId="77777777" w:rsidR="007C7EF4" w:rsidRPr="00CD459A" w:rsidRDefault="007C7EF4" w:rsidP="00AB3D96">
      <w:pPr>
        <w:pStyle w:val="Prrafodelista"/>
        <w:numPr>
          <w:ilvl w:val="0"/>
          <w:numId w:val="6"/>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Existencia de activos especializados.</w:t>
      </w:r>
    </w:p>
    <w:p w14:paraId="28E5D070" w14:textId="77777777" w:rsidR="007C7EF4" w:rsidRPr="00CD459A" w:rsidRDefault="007C7EF4" w:rsidP="007C7EF4">
      <w:pPr>
        <w:autoSpaceDE w:val="0"/>
        <w:autoSpaceDN w:val="0"/>
        <w:adjustRightInd w:val="0"/>
        <w:jc w:val="both"/>
        <w:rPr>
          <w:rFonts w:ascii="Verdana" w:hAnsi="Verdana" w:cs="Arial"/>
          <w:lang w:val="es-ES_tradnl" w:eastAsia="es-CO"/>
        </w:rPr>
      </w:pPr>
    </w:p>
    <w:p w14:paraId="137A1814"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Los criterios de medición para pasivos también se pueden clasificar en términos de si son valores de entrada o de salida. Los valores de entrada se refieren al valor de las transacciones a través de las cuales una obligación se recibe. Los valores de salida reflejan el valor que se requiere para cumplir una obligación o el valor que se requiere para liberar a la entidad de una obligación.</w:t>
      </w:r>
    </w:p>
    <w:p w14:paraId="4DFA845E" w14:textId="77777777" w:rsidR="007C7EF4" w:rsidRPr="00CD459A" w:rsidRDefault="007C7EF4" w:rsidP="007C7EF4">
      <w:pPr>
        <w:autoSpaceDE w:val="0"/>
        <w:autoSpaceDN w:val="0"/>
        <w:adjustRightInd w:val="0"/>
        <w:jc w:val="both"/>
        <w:rPr>
          <w:rFonts w:ascii="Verdana" w:hAnsi="Verdana" w:cs="Arial"/>
          <w:lang w:val="es-ES_tradnl" w:eastAsia="es-CO"/>
        </w:rPr>
      </w:pPr>
    </w:p>
    <w:p w14:paraId="1EB4E078" w14:textId="1356D698"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23" w:name="_Toc482977967"/>
      <w:bookmarkStart w:id="124" w:name="_Toc515549325"/>
      <w:bookmarkStart w:id="125" w:name="_Toc515549719"/>
      <w:bookmarkStart w:id="126" w:name="_Toc520127181"/>
      <w:r w:rsidRPr="00CD459A">
        <w:rPr>
          <w:rFonts w:ascii="Verdana" w:hAnsi="Verdana" w:cs="Arial"/>
          <w:color w:val="auto"/>
          <w:sz w:val="22"/>
          <w:szCs w:val="22"/>
          <w:lang w:val="es-ES_tradnl"/>
        </w:rPr>
        <w:t xml:space="preserve"> </w:t>
      </w:r>
      <w:bookmarkStart w:id="127" w:name="_Toc529890250"/>
      <w:bookmarkStart w:id="128" w:name="_Toc62483917"/>
      <w:bookmarkStart w:id="129" w:name="_Toc94710204"/>
      <w:r w:rsidR="002F75DB" w:rsidRPr="00CD459A">
        <w:rPr>
          <w:rFonts w:ascii="Verdana" w:hAnsi="Verdana" w:cs="Arial"/>
          <w:color w:val="auto"/>
          <w:sz w:val="22"/>
          <w:szCs w:val="22"/>
          <w:lang w:val="es-ES_tradnl"/>
        </w:rPr>
        <w:t xml:space="preserve">4.3.2 </w:t>
      </w:r>
      <w:r w:rsidRPr="00CD459A">
        <w:rPr>
          <w:rFonts w:ascii="Verdana" w:hAnsi="Verdana" w:cs="Arial"/>
          <w:color w:val="auto"/>
          <w:sz w:val="22"/>
          <w:szCs w:val="22"/>
          <w:lang w:val="es-ES_tradnl"/>
        </w:rPr>
        <w:t>Mediciones observables y no observables</w:t>
      </w:r>
      <w:bookmarkEnd w:id="123"/>
      <w:bookmarkEnd w:id="124"/>
      <w:bookmarkEnd w:id="125"/>
      <w:bookmarkEnd w:id="126"/>
      <w:bookmarkEnd w:id="127"/>
      <w:bookmarkEnd w:id="128"/>
      <w:bookmarkEnd w:id="129"/>
    </w:p>
    <w:p w14:paraId="1C1418AA" w14:textId="77777777" w:rsidR="007C7EF4" w:rsidRPr="00CD459A" w:rsidRDefault="007C7EF4" w:rsidP="007C7EF4">
      <w:pPr>
        <w:jc w:val="both"/>
        <w:rPr>
          <w:rFonts w:ascii="Verdana" w:hAnsi="Verdana" w:cs="Arial"/>
          <w:lang w:val="es-ES_tradnl"/>
        </w:rPr>
      </w:pPr>
    </w:p>
    <w:p w14:paraId="4A02E6A8"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Algunas Mediciones pueden clasificarse dependiendo de si son o no observables en un mercado abierto, activo y ordenado. Las Mediciones que son observables en un mercado, probablemente, son más comprensibles y verificables que las Mediciones no observables y pueden representar más fielmente el fenómeno que están midiendo.</w:t>
      </w:r>
    </w:p>
    <w:p w14:paraId="6C579E02" w14:textId="77777777" w:rsidR="007C7EF4" w:rsidRPr="00CD459A" w:rsidRDefault="007C7EF4" w:rsidP="007C7EF4">
      <w:pPr>
        <w:pStyle w:val="Ttulo3"/>
        <w:ind w:left="720"/>
        <w:jc w:val="both"/>
        <w:rPr>
          <w:rFonts w:ascii="Verdana" w:hAnsi="Verdana" w:cs="Arial"/>
          <w:color w:val="auto"/>
          <w:sz w:val="22"/>
          <w:szCs w:val="22"/>
          <w:lang w:val="es-ES_tradnl" w:eastAsia="es-CO"/>
        </w:rPr>
      </w:pPr>
    </w:p>
    <w:p w14:paraId="7855B0E7" w14:textId="55332E57"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30" w:name="_Toc482977968"/>
      <w:bookmarkStart w:id="131" w:name="_Toc515549326"/>
      <w:bookmarkStart w:id="132" w:name="_Toc515549720"/>
      <w:bookmarkStart w:id="133" w:name="_Toc520127182"/>
      <w:r w:rsidRPr="00CD459A">
        <w:rPr>
          <w:rFonts w:ascii="Verdana" w:hAnsi="Verdana" w:cs="Arial"/>
          <w:color w:val="auto"/>
          <w:sz w:val="22"/>
          <w:szCs w:val="22"/>
          <w:lang w:val="es-ES_tradnl"/>
        </w:rPr>
        <w:t xml:space="preserve"> </w:t>
      </w:r>
      <w:bookmarkStart w:id="134" w:name="_Toc529890251"/>
      <w:bookmarkStart w:id="135" w:name="_Toc62483918"/>
      <w:bookmarkStart w:id="136" w:name="_Toc94710205"/>
      <w:r w:rsidR="002F75DB" w:rsidRPr="00CD459A">
        <w:rPr>
          <w:rFonts w:ascii="Verdana" w:hAnsi="Verdana" w:cs="Arial"/>
          <w:color w:val="auto"/>
          <w:sz w:val="22"/>
          <w:szCs w:val="22"/>
          <w:lang w:val="es-ES_tradnl"/>
        </w:rPr>
        <w:t xml:space="preserve">4.3.3 </w:t>
      </w:r>
      <w:r w:rsidRPr="00CD459A">
        <w:rPr>
          <w:rFonts w:ascii="Verdana" w:hAnsi="Verdana" w:cs="Arial"/>
          <w:color w:val="auto"/>
          <w:sz w:val="22"/>
          <w:szCs w:val="22"/>
          <w:lang w:val="es-ES_tradnl"/>
        </w:rPr>
        <w:t>Medición específica y no específica</w:t>
      </w:r>
      <w:bookmarkEnd w:id="130"/>
      <w:bookmarkEnd w:id="131"/>
      <w:bookmarkEnd w:id="132"/>
      <w:bookmarkEnd w:id="133"/>
      <w:bookmarkEnd w:id="134"/>
      <w:bookmarkEnd w:id="135"/>
      <w:bookmarkEnd w:id="136"/>
    </w:p>
    <w:p w14:paraId="0A7089A1" w14:textId="77777777" w:rsidR="007C7EF4" w:rsidRPr="00CD459A" w:rsidRDefault="007C7EF4" w:rsidP="007C7EF4">
      <w:pPr>
        <w:ind w:left="720"/>
        <w:jc w:val="both"/>
        <w:rPr>
          <w:rFonts w:ascii="Verdana" w:hAnsi="Verdana" w:cs="Arial"/>
          <w:lang w:val="es-ES_tradnl"/>
        </w:rPr>
      </w:pPr>
    </w:p>
    <w:p w14:paraId="1A5C94C5"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Las Mediciones se pueden clasificar dependiendo de si son o no específicas para</w:t>
      </w:r>
      <w:r w:rsidRPr="00CD459A">
        <w:rPr>
          <w:rFonts w:ascii="Verdana" w:hAnsi="Verdana" w:cs="Arial"/>
          <w:iCs/>
          <w:lang w:val="es-ES_tradnl" w:eastAsia="es-CO"/>
        </w:rPr>
        <w:t xml:space="preserve"> una entidad. </w:t>
      </w:r>
      <w:r w:rsidRPr="00CD459A">
        <w:rPr>
          <w:rFonts w:ascii="Verdana" w:hAnsi="Verdana" w:cs="Arial"/>
          <w:lang w:val="es-ES_tradnl" w:eastAsia="es-CO"/>
        </w:rPr>
        <w:t xml:space="preserve">Las Mediciones específicas para </w:t>
      </w:r>
      <w:r w:rsidRPr="00CD459A">
        <w:rPr>
          <w:rFonts w:ascii="Verdana" w:hAnsi="Verdana" w:cs="Arial"/>
          <w:iCs/>
          <w:lang w:val="es-ES_tradnl" w:eastAsia="es-CO"/>
        </w:rPr>
        <w:t xml:space="preserve">una entidad </w:t>
      </w:r>
      <w:r w:rsidRPr="00CD459A">
        <w:rPr>
          <w:rFonts w:ascii="Verdana" w:hAnsi="Verdana" w:cs="Arial"/>
          <w:lang w:val="es-ES_tradnl" w:eastAsia="es-CO"/>
        </w:rPr>
        <w:t>reflejan las limitaciones económicas y las condiciones actuales que afectan los posibles usos de un activo y la liquidación de un pasivo; además, pueden reflejar oportunidades económicas que no están disponibles para otras entidades y riesgos que no tienen otras entidades. Las Mediciones que no son específicas para una entidad reflejan oportunidades y riesgos del mercado general.</w:t>
      </w:r>
    </w:p>
    <w:p w14:paraId="6CC414A4" w14:textId="77777777" w:rsidR="007C7EF4" w:rsidRPr="00CD459A" w:rsidRDefault="007C7EF4" w:rsidP="007C7EF4">
      <w:pPr>
        <w:autoSpaceDE w:val="0"/>
        <w:autoSpaceDN w:val="0"/>
        <w:adjustRightInd w:val="0"/>
        <w:jc w:val="both"/>
        <w:rPr>
          <w:rFonts w:ascii="Verdana" w:hAnsi="Verdana" w:cs="Arial"/>
          <w:lang w:val="es-ES_tradnl" w:eastAsia="es-CO"/>
        </w:rPr>
      </w:pPr>
    </w:p>
    <w:p w14:paraId="3958D7EE" w14:textId="0A1C63C5"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37" w:name="_Toc482977969"/>
      <w:bookmarkStart w:id="138" w:name="_Toc515549327"/>
      <w:bookmarkStart w:id="139" w:name="_Toc515549721"/>
      <w:bookmarkStart w:id="140" w:name="_Toc520127183"/>
      <w:r w:rsidRPr="00CD459A">
        <w:rPr>
          <w:rFonts w:ascii="Verdana" w:hAnsi="Verdana" w:cs="Arial"/>
          <w:color w:val="auto"/>
          <w:sz w:val="22"/>
          <w:szCs w:val="22"/>
          <w:lang w:val="es-ES_tradnl"/>
        </w:rPr>
        <w:t xml:space="preserve"> </w:t>
      </w:r>
      <w:bookmarkStart w:id="141" w:name="_Toc529890252"/>
      <w:bookmarkStart w:id="142" w:name="_Toc62483919"/>
      <w:bookmarkStart w:id="143" w:name="_Toc94710206"/>
      <w:r w:rsidR="002F75DB" w:rsidRPr="00CD459A">
        <w:rPr>
          <w:rFonts w:ascii="Verdana" w:hAnsi="Verdana" w:cs="Arial"/>
          <w:color w:val="auto"/>
          <w:sz w:val="22"/>
          <w:szCs w:val="22"/>
          <w:lang w:val="es-ES_tradnl"/>
        </w:rPr>
        <w:t xml:space="preserve">4.3.4 </w:t>
      </w:r>
      <w:r w:rsidRPr="00CD459A">
        <w:rPr>
          <w:rFonts w:ascii="Verdana" w:hAnsi="Verdana" w:cs="Arial"/>
          <w:color w:val="auto"/>
          <w:sz w:val="22"/>
          <w:szCs w:val="22"/>
          <w:lang w:val="es-ES_tradnl"/>
        </w:rPr>
        <w:t>Medición de los activos</w:t>
      </w:r>
      <w:bookmarkEnd w:id="137"/>
      <w:bookmarkEnd w:id="138"/>
      <w:bookmarkEnd w:id="139"/>
      <w:bookmarkEnd w:id="140"/>
      <w:bookmarkEnd w:id="141"/>
      <w:bookmarkEnd w:id="142"/>
      <w:bookmarkEnd w:id="143"/>
    </w:p>
    <w:p w14:paraId="36AC548F" w14:textId="77777777" w:rsidR="007C7EF4" w:rsidRPr="00CD459A" w:rsidRDefault="007C7EF4" w:rsidP="007C7EF4">
      <w:pPr>
        <w:autoSpaceDE w:val="0"/>
        <w:autoSpaceDN w:val="0"/>
        <w:adjustRightInd w:val="0"/>
        <w:jc w:val="both"/>
        <w:rPr>
          <w:rFonts w:ascii="Verdana" w:hAnsi="Verdana" w:cs="Arial"/>
          <w:lang w:val="es-ES_tradnl" w:eastAsia="es-CO"/>
        </w:rPr>
      </w:pPr>
    </w:p>
    <w:p w14:paraId="0C34BCCE"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Las bases de medición aplicables a los activos son costo, costo re expresado, costo amortizado, costo de reposición, valor de mercado, valor neto de realización y valor en uso.</w:t>
      </w:r>
    </w:p>
    <w:p w14:paraId="5E3BEFEB" w14:textId="77777777" w:rsidR="007C7EF4" w:rsidRPr="00CD459A" w:rsidRDefault="007C7EF4" w:rsidP="007C7EF4">
      <w:pPr>
        <w:autoSpaceDE w:val="0"/>
        <w:autoSpaceDN w:val="0"/>
        <w:adjustRightInd w:val="0"/>
        <w:jc w:val="both"/>
        <w:rPr>
          <w:rFonts w:ascii="Verdana" w:hAnsi="Verdana" w:cs="Arial"/>
          <w:lang w:val="es-ES_tradnl" w:eastAsia="es-CO"/>
        </w:rPr>
      </w:pPr>
    </w:p>
    <w:p w14:paraId="3C6FF658"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w:t>
      </w:r>
    </w:p>
    <w:p w14:paraId="2E4A5DFE" w14:textId="77777777" w:rsidR="007C7EF4" w:rsidRPr="00CD459A" w:rsidRDefault="007C7EF4" w:rsidP="007C7EF4">
      <w:pPr>
        <w:autoSpaceDE w:val="0"/>
        <w:autoSpaceDN w:val="0"/>
        <w:adjustRightInd w:val="0"/>
        <w:jc w:val="both"/>
        <w:rPr>
          <w:rFonts w:ascii="Verdana" w:hAnsi="Verdana" w:cs="Arial"/>
          <w:lang w:val="es-ES_tradnl" w:eastAsia="es-CO"/>
        </w:rPr>
      </w:pPr>
    </w:p>
    <w:p w14:paraId="7604B2CF" w14:textId="77777777" w:rsidR="007C7EF4" w:rsidRPr="00CD459A" w:rsidRDefault="007C7EF4" w:rsidP="007C7EF4">
      <w:pPr>
        <w:autoSpaceDE w:val="0"/>
        <w:autoSpaceDN w:val="0"/>
        <w:adjustRightInd w:val="0"/>
        <w:jc w:val="both"/>
        <w:rPr>
          <w:rFonts w:ascii="Verdana" w:hAnsi="Verdana" w:cs="Arial"/>
          <w:iCs/>
          <w:lang w:val="es-ES_tradnl" w:eastAsia="es-CO"/>
        </w:rPr>
      </w:pPr>
      <w:r w:rsidRPr="00CD459A">
        <w:rPr>
          <w:rFonts w:ascii="Verdana" w:hAnsi="Verdana" w:cs="Arial"/>
          <w:lang w:val="es-ES_tradnl" w:eastAsia="es-CO"/>
        </w:rPr>
        <w:t>El costo corresponde al importe de efectivo o equivalentes al efectivo pagados, o bien al valor de la contraprestación entregada, para adquirir un activo en el momento de su adquisición o desarrollo. El costo es un valor de entrada observable y específico para la Entidad</w:t>
      </w:r>
      <w:r w:rsidRPr="00CD459A">
        <w:rPr>
          <w:rFonts w:ascii="Verdana" w:hAnsi="Verdana" w:cs="Arial"/>
          <w:iCs/>
          <w:lang w:val="es-ES_tradnl" w:eastAsia="es-CO"/>
        </w:rPr>
        <w:t>.</w:t>
      </w:r>
    </w:p>
    <w:p w14:paraId="2D4CB1BA" w14:textId="77777777" w:rsidR="007C7EF4" w:rsidRPr="00CD459A" w:rsidRDefault="007C7EF4" w:rsidP="007C7EF4">
      <w:pPr>
        <w:autoSpaceDE w:val="0"/>
        <w:autoSpaceDN w:val="0"/>
        <w:adjustRightInd w:val="0"/>
        <w:jc w:val="both"/>
        <w:rPr>
          <w:rFonts w:ascii="Verdana" w:hAnsi="Verdana" w:cs="Arial"/>
          <w:lang w:val="es-ES_tradnl" w:eastAsia="es-CO"/>
        </w:rPr>
      </w:pPr>
    </w:p>
    <w:p w14:paraId="724AF03A"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Según este criterio, los activos se reconocen inicialmente por el efectivo y otros cargos pagados o por pagar para la adquisición, formación y colocación de los bienes en condiciones de utilización o enajenación.</w:t>
      </w:r>
    </w:p>
    <w:p w14:paraId="4A64AAD4" w14:textId="61B77904" w:rsidR="007C7EF4" w:rsidRPr="00CD459A" w:rsidRDefault="007C7EF4" w:rsidP="007C7EF4">
      <w:pPr>
        <w:jc w:val="both"/>
        <w:rPr>
          <w:rFonts w:ascii="Verdana" w:hAnsi="Verdana" w:cs="Arial"/>
        </w:rPr>
      </w:pPr>
      <w:r w:rsidRPr="00CD459A">
        <w:rPr>
          <w:rFonts w:ascii="Verdana" w:hAnsi="Verdana" w:cs="Arial"/>
        </w:rPr>
        <w:t>Con posterioridad al reconocimiento inicial, el costo de algunos activos se puede asignar al resultado a través de la depreciación o amortización, pero también pueden ser objeto de ajuste por el reconocimiento de pérdidas. La pérdida es el grado en que el potencial de servicio o la capacidad de generar beneficios económicos provenientes de un activo han disminuido debido a cambios en la economía u otras condiciones diferentes de las de su consumo. Por el contrario, el valor de un activo se puede incrementar para reflejar el costo de adiciones y mejoras.</w:t>
      </w:r>
    </w:p>
    <w:p w14:paraId="2B5C97FB" w14:textId="56AA8118" w:rsidR="007C7EF4" w:rsidRPr="00CD459A" w:rsidRDefault="007C7EF4" w:rsidP="007C7EF4">
      <w:pPr>
        <w:jc w:val="both"/>
        <w:rPr>
          <w:rFonts w:ascii="Verdana" w:hAnsi="Verdana" w:cs="Arial"/>
        </w:rPr>
      </w:pPr>
      <w:r w:rsidRPr="00CD459A">
        <w:rPr>
          <w:rFonts w:ascii="Verdana" w:hAnsi="Verdana" w:cs="Arial"/>
        </w:rPr>
        <w:t>El costo, como criterio de medición de los servicios, refleja el valor de los recursos empleados (activos adquiridos o desarrollados) que se consumen en la prestación de los servicios. El costo, generalmente, proporciona un vínculo directo con las transacciones efectivamente realizadas por la entidad.</w:t>
      </w:r>
    </w:p>
    <w:p w14:paraId="1A3F4450" w14:textId="77777777" w:rsidR="007C7EF4" w:rsidRPr="00CD459A" w:rsidRDefault="007C7EF4" w:rsidP="007C7EF4">
      <w:pPr>
        <w:autoSpaceDE w:val="0"/>
        <w:autoSpaceDN w:val="0"/>
        <w:adjustRightInd w:val="0"/>
        <w:jc w:val="both"/>
        <w:rPr>
          <w:rFonts w:ascii="Verdana" w:hAnsi="Verdana" w:cs="Arial"/>
        </w:rPr>
      </w:pPr>
      <w:r w:rsidRPr="00CD459A">
        <w:rPr>
          <w:rFonts w:ascii="Verdana" w:hAnsi="Verdana" w:cs="Arial"/>
        </w:rPr>
        <w:t>Si un activo ha sido adquirido en condiciones de mercado, el costo basado en el precio de adquisición proporciona información sobre los recursos disponibles para suministrar servicios en periodos futuros. En el momento en que un activo es comprado o desarrollado, se puede asumir que el valor del potencial de servicio es al menos equivalente al costo de la compra o el desarrollo; pero si un activo es adquirido en una transacción sin contraprestación, el costo no proporcionará información sobre la capacidad de operación; por esta razón, se deben emplear otros criterios para reconocer activos en estas circunstancias.</w:t>
      </w:r>
    </w:p>
    <w:p w14:paraId="082C7986" w14:textId="77777777" w:rsidR="007C7EF4" w:rsidRPr="00CD459A" w:rsidRDefault="007C7EF4" w:rsidP="007C7EF4">
      <w:pPr>
        <w:autoSpaceDE w:val="0"/>
        <w:autoSpaceDN w:val="0"/>
        <w:adjustRightInd w:val="0"/>
        <w:jc w:val="both"/>
        <w:rPr>
          <w:rFonts w:ascii="Verdana" w:hAnsi="Verdana" w:cs="Arial"/>
          <w:lang w:val="es-ES_tradnl" w:eastAsia="es-CO"/>
        </w:rPr>
      </w:pPr>
    </w:p>
    <w:p w14:paraId="2D3EAF98"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re expresado</w:t>
      </w:r>
    </w:p>
    <w:p w14:paraId="58E3309C" w14:textId="77777777" w:rsidR="007C7EF4" w:rsidRPr="00CD459A" w:rsidRDefault="007C7EF4" w:rsidP="007C7EF4">
      <w:pPr>
        <w:autoSpaceDE w:val="0"/>
        <w:autoSpaceDN w:val="0"/>
        <w:adjustRightInd w:val="0"/>
        <w:jc w:val="both"/>
        <w:rPr>
          <w:rFonts w:ascii="Verdana" w:hAnsi="Verdana" w:cs="Arial"/>
          <w:lang w:val="es-ES_tradnl" w:eastAsia="es-CO"/>
        </w:rPr>
      </w:pPr>
    </w:p>
    <w:p w14:paraId="2F3178AF" w14:textId="66274C1C"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costo re expresado corresponde a la actualización del costo de los activos con el fin de reconocer cambios de valor ocasionados por la exposición a fenómenos económicos exógenos.</w:t>
      </w:r>
    </w:p>
    <w:p w14:paraId="17EF8E92"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Para tal efecto, se emplea la tasa de cambio de la moneda extranjera, los pactos de ajuste, la unidad de valor real o cualquier otra modalidad admitida formalmente. Cuando se adquieran bienes o servicios en moneda extranjera, el valor de la transacción debe Re expresarse en moneda legal colombiana, según la norma aplicable. El costo re expresado es un valor de entrada observable y específico para la Entidad</w:t>
      </w:r>
    </w:p>
    <w:p w14:paraId="5C3D24F8" w14:textId="77777777" w:rsidR="007C7EF4" w:rsidRPr="00CD459A" w:rsidRDefault="007C7EF4" w:rsidP="007C7EF4">
      <w:pPr>
        <w:autoSpaceDE w:val="0"/>
        <w:autoSpaceDN w:val="0"/>
        <w:adjustRightInd w:val="0"/>
        <w:jc w:val="both"/>
        <w:rPr>
          <w:rFonts w:ascii="Verdana" w:hAnsi="Verdana" w:cs="Arial"/>
          <w:lang w:val="es-ES_tradnl" w:eastAsia="es-CO"/>
        </w:rPr>
      </w:pPr>
    </w:p>
    <w:p w14:paraId="30C02532"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amortizado</w:t>
      </w:r>
    </w:p>
    <w:p w14:paraId="565FC69B" w14:textId="77777777" w:rsidR="007C7EF4" w:rsidRPr="00CD459A" w:rsidRDefault="007C7EF4" w:rsidP="007C7EF4">
      <w:pPr>
        <w:autoSpaceDE w:val="0"/>
        <w:autoSpaceDN w:val="0"/>
        <w:adjustRightInd w:val="0"/>
        <w:jc w:val="both"/>
        <w:rPr>
          <w:rFonts w:ascii="Verdana" w:hAnsi="Verdana" w:cs="Arial"/>
          <w:lang w:val="es-ES_tradnl" w:eastAsia="es-CO"/>
        </w:rPr>
      </w:pPr>
    </w:p>
    <w:p w14:paraId="3353012D"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costo amortizado corresponde al valor del activo inicialmente reconocido más el rendimiento efectivo menos los pagos de capital e intereses menos cualquier disminución por deterioro del valor. El costo amortizado es un valor de entrada observable y específico para la Entidad</w:t>
      </w:r>
      <w:r w:rsidRPr="00CD459A">
        <w:rPr>
          <w:rFonts w:ascii="Verdana" w:hAnsi="Verdana" w:cs="Arial"/>
          <w:iCs/>
          <w:lang w:val="es-ES_tradnl" w:eastAsia="es-CO"/>
        </w:rPr>
        <w:t>.</w:t>
      </w:r>
    </w:p>
    <w:p w14:paraId="1260DF29" w14:textId="77777777" w:rsidR="007C7EF4" w:rsidRPr="00CD459A" w:rsidRDefault="007C7EF4" w:rsidP="007C7EF4">
      <w:pPr>
        <w:autoSpaceDE w:val="0"/>
        <w:autoSpaceDN w:val="0"/>
        <w:adjustRightInd w:val="0"/>
        <w:jc w:val="both"/>
        <w:rPr>
          <w:rFonts w:ascii="Verdana" w:hAnsi="Verdana" w:cs="Arial"/>
          <w:lang w:val="es-ES_tradnl" w:eastAsia="es-CO"/>
        </w:rPr>
      </w:pPr>
    </w:p>
    <w:p w14:paraId="295DEA22"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de reposición</w:t>
      </w:r>
    </w:p>
    <w:p w14:paraId="12EBE3B6" w14:textId="77777777" w:rsidR="007C7EF4" w:rsidRPr="00CD459A" w:rsidRDefault="007C7EF4" w:rsidP="007C7EF4">
      <w:pPr>
        <w:autoSpaceDE w:val="0"/>
        <w:autoSpaceDN w:val="0"/>
        <w:adjustRightInd w:val="0"/>
        <w:jc w:val="both"/>
        <w:rPr>
          <w:rFonts w:ascii="Verdana" w:hAnsi="Verdana" w:cs="Arial"/>
          <w:lang w:val="es-ES_tradnl" w:eastAsia="es-CO"/>
        </w:rPr>
      </w:pPr>
    </w:p>
    <w:p w14:paraId="456B7467" w14:textId="0C9FB893"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eastAsia="es-CO"/>
        </w:rPr>
        <w:t>El costo de reposición corresponde a la contraprestación más baja requerida para reemplazar el potencial de servicio restante de un activo o los beneficios económicos incorporados a este. El costo de reposición es un valor de entrada observable y específico para la Entidad.</w:t>
      </w:r>
      <w:r w:rsidRPr="00CD459A">
        <w:rPr>
          <w:rFonts w:ascii="Verdana" w:hAnsi="Verdana" w:cs="Arial"/>
          <w:lang w:val="es-ES_tradnl"/>
        </w:rPr>
        <w:t xml:space="preserve"> </w:t>
      </w:r>
    </w:p>
    <w:p w14:paraId="06A02C66" w14:textId="6678902E"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Según este criterio, los activos se miden por los recursos que se tendrían que sacrificar para reponer un activo que proporcione el mismo potencial de servicio o los beneficios económicos del activo existente. El costo de reposición refleja la situación específica de un activo para</w:t>
      </w:r>
      <w:r w:rsidRPr="00CD459A">
        <w:rPr>
          <w:rFonts w:ascii="Verdana" w:hAnsi="Verdana" w:cs="Arial"/>
          <w:iCs/>
          <w:lang w:val="es-ES_tradnl" w:eastAsia="es-CO"/>
        </w:rPr>
        <w:t xml:space="preserve"> la Entidad. </w:t>
      </w:r>
      <w:r w:rsidRPr="00CD459A">
        <w:rPr>
          <w:rFonts w:ascii="Verdana" w:hAnsi="Verdana" w:cs="Arial"/>
        </w:rPr>
        <w:t>Por ejemplo, el costo de reposición de un vehículo es menor para una entidad que usualmente adquiere un número muy elevado de vehículos en una única transacción y es, regularmente, capaz de negociar descuentos que para una entidad que compra vehículos individualmente.</w:t>
      </w:r>
    </w:p>
    <w:p w14:paraId="6231DF40" w14:textId="3A401811"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Dado que las entidades usualmente adquieren sus activos por los medios más económicos disponibles, el costo de reposición refleja los procesos de adquisición o construcción que la entidad sigue generalmente.</w:t>
      </w:r>
    </w:p>
    <w:p w14:paraId="171276A1" w14:textId="47E81878"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Aunque en muchos casos, la sustitución más económica del potencial de servicio será comprando un activo que sea similar al que se controla, el costo de reposición se basa en un activo alternativo si esa opción proporciona el mismo potencial de servicio o los mismos beneficios económicos a un precio más bajo. La determinación del costo de reposición de un activo según las bases de una decisión óptima refleja las necesidades potenciales del servicio prestado por el activo.</w:t>
      </w:r>
    </w:p>
    <w:p w14:paraId="3A5DB02B"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El potencial de servicio restante es aquel que la entidad es capaz de utilizar o espera utilizar, teniendo en cuenta la necesidad de mantener la capacidad de servicio suficiente para hacer frente a contingencias. Esto es así porque en determinadas circunstancias, se requiere mantener una mayor capacidad que la demandada por razones de seguridad o por otros motivos. </w:t>
      </w:r>
    </w:p>
    <w:p w14:paraId="373C2582" w14:textId="77777777" w:rsidR="007C7EF4" w:rsidRPr="00CD459A" w:rsidRDefault="007C7EF4" w:rsidP="007C7EF4">
      <w:pPr>
        <w:autoSpaceDE w:val="0"/>
        <w:autoSpaceDN w:val="0"/>
        <w:adjustRightInd w:val="0"/>
        <w:jc w:val="both"/>
        <w:rPr>
          <w:rFonts w:ascii="Verdana" w:hAnsi="Verdana" w:cs="Arial"/>
          <w:lang w:val="es-ES_tradnl" w:eastAsia="es-CO"/>
        </w:rPr>
      </w:pPr>
    </w:p>
    <w:p w14:paraId="3CB8C97F" w14:textId="2DFF9AB2"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Cuando el costo de reposición se utiliza, el costo de los servicios refleja el valor de los activos en el momento en que se consumen para la prestación de los servicios (y no el costo de adquisición). Esto proporciona una base válida para evaluar el costo futuro de la prestación de servicios y los recursos que se necesitarán en periodos futuros.</w:t>
      </w:r>
    </w:p>
    <w:p w14:paraId="0E65C2AD" w14:textId="77777777" w:rsidR="002F75DB" w:rsidRPr="00CD459A" w:rsidRDefault="002F75DB" w:rsidP="007C7EF4">
      <w:pPr>
        <w:autoSpaceDE w:val="0"/>
        <w:autoSpaceDN w:val="0"/>
        <w:adjustRightInd w:val="0"/>
        <w:jc w:val="both"/>
        <w:rPr>
          <w:rFonts w:ascii="Verdana" w:hAnsi="Verdana" w:cs="Arial"/>
          <w:lang w:val="es-ES_tradnl" w:eastAsia="es-CO"/>
        </w:rPr>
      </w:pPr>
    </w:p>
    <w:p w14:paraId="1816D4EC"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Valor de mercado</w:t>
      </w:r>
    </w:p>
    <w:p w14:paraId="3EF315A9" w14:textId="77777777" w:rsidR="007C7EF4" w:rsidRPr="00CD459A" w:rsidRDefault="007C7EF4" w:rsidP="007C7EF4">
      <w:pPr>
        <w:autoSpaceDE w:val="0"/>
        <w:autoSpaceDN w:val="0"/>
        <w:adjustRightInd w:val="0"/>
        <w:jc w:val="both"/>
        <w:rPr>
          <w:rFonts w:ascii="Verdana" w:hAnsi="Verdana" w:cs="Arial"/>
          <w:lang w:val="es-ES_tradnl" w:eastAsia="es-CO"/>
        </w:rPr>
      </w:pPr>
    </w:p>
    <w:p w14:paraId="0E92C984"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valor de mercado es el valor por el cual un activo puede ser intercambiado entre partes interesadas y debidamente informadas, en una transacción realizada en condiciones de independencia mutua. Cuando el valor se obtiene en un mercado abierto, activo y ordenado, el valor de mercado puede ser un valor de entrada o de salida observable y un valor no específico para la entidad</w:t>
      </w:r>
      <w:r w:rsidRPr="00CD459A">
        <w:rPr>
          <w:rFonts w:ascii="Verdana" w:hAnsi="Verdana" w:cs="Arial"/>
          <w:iCs/>
          <w:lang w:val="es-ES_tradnl" w:eastAsia="es-CO"/>
        </w:rPr>
        <w:t>.</w:t>
      </w:r>
    </w:p>
    <w:p w14:paraId="30498D9E" w14:textId="77777777" w:rsidR="007C7EF4" w:rsidRPr="00CD459A" w:rsidRDefault="007C7EF4" w:rsidP="007C7EF4">
      <w:pPr>
        <w:autoSpaceDE w:val="0"/>
        <w:autoSpaceDN w:val="0"/>
        <w:adjustRightInd w:val="0"/>
        <w:jc w:val="both"/>
        <w:rPr>
          <w:rFonts w:ascii="Verdana" w:hAnsi="Verdana" w:cs="Arial"/>
          <w:lang w:val="es-ES_tradnl" w:eastAsia="es-CO"/>
        </w:rPr>
      </w:pPr>
    </w:p>
    <w:p w14:paraId="10CAB6E0"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Valor neto de realización</w:t>
      </w:r>
    </w:p>
    <w:p w14:paraId="4BD665FF" w14:textId="77777777" w:rsidR="007C7EF4" w:rsidRPr="00CD459A" w:rsidRDefault="007C7EF4" w:rsidP="007C7EF4">
      <w:pPr>
        <w:autoSpaceDE w:val="0"/>
        <w:autoSpaceDN w:val="0"/>
        <w:adjustRightInd w:val="0"/>
        <w:jc w:val="both"/>
        <w:rPr>
          <w:rFonts w:ascii="Verdana" w:hAnsi="Verdana" w:cs="Arial"/>
          <w:lang w:val="es-ES_tradnl" w:eastAsia="es-CO"/>
        </w:rPr>
      </w:pPr>
    </w:p>
    <w:p w14:paraId="7B13D16F"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valor neto de realización es el valor que la entidad puede obtener por la venta de los activos menos los costos estimados para terminar su producción y los necesarios para llevar a cabo su venta.</w:t>
      </w:r>
    </w:p>
    <w:p w14:paraId="42567B72" w14:textId="77777777" w:rsidR="007C7EF4" w:rsidRPr="00CD459A" w:rsidRDefault="007C7EF4" w:rsidP="007C7EF4">
      <w:pPr>
        <w:autoSpaceDE w:val="0"/>
        <w:autoSpaceDN w:val="0"/>
        <w:adjustRightInd w:val="0"/>
        <w:jc w:val="both"/>
        <w:rPr>
          <w:rFonts w:ascii="Verdana" w:hAnsi="Verdana" w:cs="Arial"/>
          <w:lang w:val="es-ES_tradnl" w:eastAsia="es-CO"/>
        </w:rPr>
      </w:pPr>
    </w:p>
    <w:p w14:paraId="0ACAA274" w14:textId="77777777" w:rsidR="007C7EF4" w:rsidRPr="00CD459A" w:rsidRDefault="007C7EF4" w:rsidP="00AB3D96">
      <w:pPr>
        <w:pStyle w:val="Prrafodelista"/>
        <w:numPr>
          <w:ilvl w:val="0"/>
          <w:numId w:val="7"/>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Valor en uso</w:t>
      </w:r>
    </w:p>
    <w:p w14:paraId="1AC6EE0C" w14:textId="77777777" w:rsidR="007C7EF4" w:rsidRPr="00CD459A" w:rsidRDefault="007C7EF4" w:rsidP="007C7EF4">
      <w:pPr>
        <w:autoSpaceDE w:val="0"/>
        <w:autoSpaceDN w:val="0"/>
        <w:adjustRightInd w:val="0"/>
        <w:jc w:val="both"/>
        <w:rPr>
          <w:rFonts w:ascii="Verdana" w:hAnsi="Verdana" w:cs="Arial"/>
          <w:lang w:val="es-ES_tradnl" w:eastAsia="es-CO"/>
        </w:rPr>
      </w:pPr>
    </w:p>
    <w:p w14:paraId="0C09A63A" w14:textId="70EA2AA8" w:rsidR="007C7EF4" w:rsidRPr="00CD459A" w:rsidRDefault="007C7EF4" w:rsidP="007C7EF4">
      <w:pPr>
        <w:autoSpaceDE w:val="0"/>
        <w:autoSpaceDN w:val="0"/>
        <w:adjustRightInd w:val="0"/>
        <w:jc w:val="both"/>
        <w:rPr>
          <w:rFonts w:ascii="Verdana" w:hAnsi="Verdana" w:cs="Arial"/>
          <w:iCs/>
          <w:lang w:val="es-ES_tradnl" w:eastAsia="es-CO"/>
        </w:rPr>
      </w:pPr>
      <w:r w:rsidRPr="00CD459A">
        <w:rPr>
          <w:rFonts w:ascii="Verdana" w:hAnsi="Verdana" w:cs="Arial"/>
          <w:lang w:val="es-ES_tradnl" w:eastAsia="es-CO"/>
        </w:rPr>
        <w:t>El valor en uso equivale al valor presente de los beneficios económicos que se espera genere el activo, incluido el flujo que recibiría la Entidad</w:t>
      </w:r>
      <w:r w:rsidRPr="00CD459A">
        <w:rPr>
          <w:rFonts w:ascii="Verdana" w:hAnsi="Verdana" w:cs="Arial"/>
          <w:iCs/>
          <w:lang w:val="es-ES_tradnl" w:eastAsia="es-CO"/>
        </w:rPr>
        <w:t xml:space="preserve"> </w:t>
      </w:r>
      <w:r w:rsidRPr="00CD459A">
        <w:rPr>
          <w:rFonts w:ascii="Verdana" w:hAnsi="Verdana" w:cs="Arial"/>
          <w:lang w:val="es-ES_tradnl" w:eastAsia="es-CO"/>
        </w:rPr>
        <w:t>por su disposición al final de la vida útil. El valor en uso es un valor de salida no observable y específico para la entidad</w:t>
      </w:r>
      <w:r w:rsidRPr="00CD459A">
        <w:rPr>
          <w:rFonts w:ascii="Verdana" w:hAnsi="Verdana" w:cs="Arial"/>
          <w:iCs/>
          <w:lang w:val="es-ES_tradnl" w:eastAsia="es-CO"/>
        </w:rPr>
        <w:t xml:space="preserve">. </w:t>
      </w:r>
    </w:p>
    <w:p w14:paraId="693AC56D"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valor en uso es aplicable a los activos generadores de efectivo y refleja el valor que puede obtenerse de un activo a través de su operación y de su disposición al final de la vida útil.</w:t>
      </w:r>
    </w:p>
    <w:p w14:paraId="0EB4D5F2" w14:textId="77777777" w:rsidR="007C7EF4" w:rsidRPr="00CD459A" w:rsidRDefault="007C7EF4" w:rsidP="007C7EF4">
      <w:pPr>
        <w:autoSpaceDE w:val="0"/>
        <w:autoSpaceDN w:val="0"/>
        <w:adjustRightInd w:val="0"/>
        <w:jc w:val="both"/>
        <w:rPr>
          <w:rFonts w:ascii="Verdana" w:hAnsi="Verdana" w:cs="Arial"/>
          <w:lang w:val="es-ES_tradnl" w:eastAsia="es-CO"/>
        </w:rPr>
      </w:pPr>
    </w:p>
    <w:p w14:paraId="4A80553E"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Los activos que se emplean en actividades de generación de efectivo, con frecuencia, proporcionan flujos de efectivo juntamente con otros activos. En tales casos, el valor en uso solo puede estimarse al calcular el valor presente de los flujos de efectivo de un grupo de activos.</w:t>
      </w:r>
    </w:p>
    <w:p w14:paraId="38530B6F" w14:textId="77777777" w:rsidR="007C7EF4" w:rsidRPr="00CD459A" w:rsidRDefault="007C7EF4" w:rsidP="007C7EF4">
      <w:pPr>
        <w:autoSpaceDE w:val="0"/>
        <w:autoSpaceDN w:val="0"/>
        <w:adjustRightInd w:val="0"/>
        <w:jc w:val="both"/>
        <w:rPr>
          <w:rFonts w:ascii="Verdana" w:hAnsi="Verdana" w:cs="Arial"/>
          <w:lang w:val="es-ES_tradnl" w:eastAsia="es-CO"/>
        </w:rPr>
      </w:pPr>
    </w:p>
    <w:p w14:paraId="64EA67FB" w14:textId="656A7FCD"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44" w:name="_Toc482977970"/>
      <w:bookmarkStart w:id="145" w:name="_Toc515549328"/>
      <w:bookmarkStart w:id="146" w:name="_Toc515549722"/>
      <w:bookmarkStart w:id="147" w:name="_Toc520127184"/>
      <w:r w:rsidRPr="00CD459A">
        <w:rPr>
          <w:rFonts w:ascii="Verdana" w:hAnsi="Verdana" w:cs="Arial"/>
          <w:color w:val="auto"/>
          <w:sz w:val="22"/>
          <w:szCs w:val="22"/>
          <w:lang w:val="es-ES_tradnl"/>
        </w:rPr>
        <w:t xml:space="preserve"> </w:t>
      </w:r>
      <w:bookmarkStart w:id="148" w:name="_Toc529890253"/>
      <w:bookmarkStart w:id="149" w:name="_Toc62483920"/>
      <w:bookmarkStart w:id="150" w:name="_Toc94710207"/>
      <w:r w:rsidR="002F75DB" w:rsidRPr="00CD459A">
        <w:rPr>
          <w:rFonts w:ascii="Verdana" w:hAnsi="Verdana" w:cs="Arial"/>
          <w:color w:val="auto"/>
          <w:sz w:val="22"/>
          <w:szCs w:val="22"/>
          <w:lang w:val="es-ES_tradnl"/>
        </w:rPr>
        <w:t xml:space="preserve">4.3.5 </w:t>
      </w:r>
      <w:r w:rsidRPr="00CD459A">
        <w:rPr>
          <w:rFonts w:ascii="Verdana" w:hAnsi="Verdana" w:cs="Arial"/>
          <w:color w:val="auto"/>
          <w:sz w:val="22"/>
          <w:szCs w:val="22"/>
          <w:lang w:val="es-ES_tradnl"/>
        </w:rPr>
        <w:t>Medición de los pasivos</w:t>
      </w:r>
      <w:bookmarkEnd w:id="144"/>
      <w:bookmarkEnd w:id="145"/>
      <w:bookmarkEnd w:id="146"/>
      <w:bookmarkEnd w:id="147"/>
      <w:bookmarkEnd w:id="148"/>
      <w:bookmarkEnd w:id="149"/>
      <w:bookmarkEnd w:id="150"/>
    </w:p>
    <w:p w14:paraId="0FA3ED0A" w14:textId="77777777" w:rsidR="007C7EF4" w:rsidRPr="00CD459A" w:rsidRDefault="007C7EF4" w:rsidP="007C7EF4">
      <w:pPr>
        <w:autoSpaceDE w:val="0"/>
        <w:autoSpaceDN w:val="0"/>
        <w:adjustRightInd w:val="0"/>
        <w:jc w:val="both"/>
        <w:rPr>
          <w:rFonts w:ascii="Verdana" w:hAnsi="Verdana" w:cs="Arial"/>
          <w:lang w:val="es-ES_tradnl" w:eastAsia="es-CO"/>
        </w:rPr>
      </w:pPr>
    </w:p>
    <w:p w14:paraId="1EC95ED8"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Las bases de medición aplicables a los pasivos son: costo, costo re expresado, costo amortizado, costo de cumplimiento y valor de mercado.</w:t>
      </w:r>
    </w:p>
    <w:p w14:paraId="2E483F83" w14:textId="77777777" w:rsidR="007C7EF4" w:rsidRPr="00CD459A" w:rsidRDefault="007C7EF4" w:rsidP="007C7EF4">
      <w:pPr>
        <w:autoSpaceDE w:val="0"/>
        <w:autoSpaceDN w:val="0"/>
        <w:adjustRightInd w:val="0"/>
        <w:jc w:val="both"/>
        <w:rPr>
          <w:rFonts w:ascii="Verdana" w:hAnsi="Verdana" w:cs="Arial"/>
          <w:lang w:val="es-ES_tradnl" w:eastAsia="es-CO"/>
        </w:rPr>
      </w:pPr>
    </w:p>
    <w:p w14:paraId="24B96387" w14:textId="77777777" w:rsidR="007C7EF4" w:rsidRPr="00CD459A" w:rsidRDefault="007C7EF4" w:rsidP="00AB3D96">
      <w:pPr>
        <w:pStyle w:val="Prrafodelista"/>
        <w:numPr>
          <w:ilvl w:val="0"/>
          <w:numId w:val="8"/>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w:t>
      </w:r>
    </w:p>
    <w:p w14:paraId="772BEAD6" w14:textId="77777777" w:rsidR="007C7EF4" w:rsidRPr="00CD459A" w:rsidRDefault="007C7EF4" w:rsidP="007C7EF4">
      <w:pPr>
        <w:autoSpaceDE w:val="0"/>
        <w:autoSpaceDN w:val="0"/>
        <w:adjustRightInd w:val="0"/>
        <w:jc w:val="both"/>
        <w:rPr>
          <w:rFonts w:ascii="Verdana" w:hAnsi="Verdana" w:cs="Arial"/>
          <w:lang w:val="es-ES_tradnl" w:eastAsia="es-CO"/>
        </w:rPr>
      </w:pPr>
    </w:p>
    <w:p w14:paraId="3C81519D" w14:textId="76D942B8"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costo de un pasivo es la contraprestación recibida a cambio de la obligación asumida, esto es, el efectivo o equivalentes al efectivo pagados, o el valor de la contraprestación recibida, en el momento de incurrir en el pasivo. El costo es un valor de entrada observable y específico para una entidad.</w:t>
      </w:r>
    </w:p>
    <w:p w14:paraId="4824BD8A"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La medición al costo es adecuada cuando es probable que los pasivos se liquiden en las condiciones establecidas. Sin embargo, el costo no es apropiado para medir pasivos que no surgen de una transacción, tal como la obligación de pagar los daños causados a terceros. También es difícil aplicar el costo a pasivos que subyacen de una transacción sin contraprestación dado que este no proporciona una representación fiel de la obligación que tendría la Entidad; o a los pasivos cuyo valor cambia a través del tiempo, tales como aquellos relacionados con pensiones a cargo de la entidad. </w:t>
      </w:r>
    </w:p>
    <w:p w14:paraId="4488383D" w14:textId="77777777" w:rsidR="007C7EF4" w:rsidRPr="00CD459A" w:rsidRDefault="007C7EF4" w:rsidP="007C7EF4">
      <w:pPr>
        <w:autoSpaceDE w:val="0"/>
        <w:autoSpaceDN w:val="0"/>
        <w:adjustRightInd w:val="0"/>
        <w:jc w:val="both"/>
        <w:rPr>
          <w:rFonts w:ascii="Verdana" w:hAnsi="Verdana" w:cs="Arial"/>
          <w:lang w:val="es-ES_tradnl" w:eastAsia="es-CO"/>
        </w:rPr>
      </w:pPr>
    </w:p>
    <w:p w14:paraId="38E26596" w14:textId="77777777" w:rsidR="007C7EF4" w:rsidRPr="00CD459A" w:rsidRDefault="007C7EF4" w:rsidP="00AB3D96">
      <w:pPr>
        <w:pStyle w:val="Prrafodelista"/>
        <w:numPr>
          <w:ilvl w:val="0"/>
          <w:numId w:val="8"/>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re expresado</w:t>
      </w:r>
    </w:p>
    <w:p w14:paraId="605FF4C5" w14:textId="77777777" w:rsidR="007C7EF4" w:rsidRPr="00CD459A" w:rsidRDefault="007C7EF4" w:rsidP="007C7EF4">
      <w:pPr>
        <w:autoSpaceDE w:val="0"/>
        <w:autoSpaceDN w:val="0"/>
        <w:adjustRightInd w:val="0"/>
        <w:jc w:val="both"/>
        <w:rPr>
          <w:rFonts w:ascii="Verdana" w:hAnsi="Verdana" w:cs="Arial"/>
          <w:lang w:val="es-ES_tradnl" w:eastAsia="es-CO"/>
        </w:rPr>
      </w:pPr>
    </w:p>
    <w:p w14:paraId="5C3E1C21"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costo re expresado corresponde a la actualización del costo de los pasivos con el fin de reconocer cambios de valor ocasionados por la exposición a fenómenos económicos exógenos. Para tal efecto, se emplea la tasa de cambio de la moneda extranjera, los pactos de ajuste, la unidad de valor real o cualquier otra modalidad admitida formalmente. Cuando se contraigan obligaciones en moneda extranjera, el valor de la transacción debe re expresarse en moneda legal colombiana, según la norma aplicable. El costo re expresado es un valor de entrada observable y específico para la entidad.</w:t>
      </w:r>
    </w:p>
    <w:p w14:paraId="55CA13C6" w14:textId="77777777" w:rsidR="007C7EF4" w:rsidRPr="00CD459A" w:rsidRDefault="007C7EF4" w:rsidP="007C7EF4">
      <w:pPr>
        <w:autoSpaceDE w:val="0"/>
        <w:autoSpaceDN w:val="0"/>
        <w:adjustRightInd w:val="0"/>
        <w:jc w:val="both"/>
        <w:rPr>
          <w:rFonts w:ascii="Verdana" w:hAnsi="Verdana" w:cs="Arial"/>
          <w:lang w:val="es-ES_tradnl" w:eastAsia="es-CO"/>
        </w:rPr>
      </w:pPr>
    </w:p>
    <w:p w14:paraId="44658173" w14:textId="77777777" w:rsidR="007C7EF4" w:rsidRPr="00CD459A" w:rsidRDefault="007C7EF4" w:rsidP="00AB3D96">
      <w:pPr>
        <w:pStyle w:val="Prrafodelista"/>
        <w:numPr>
          <w:ilvl w:val="0"/>
          <w:numId w:val="8"/>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amortizado</w:t>
      </w:r>
    </w:p>
    <w:p w14:paraId="0523EF8C" w14:textId="77777777" w:rsidR="007C7EF4" w:rsidRPr="00CD459A" w:rsidRDefault="007C7EF4" w:rsidP="007C7EF4">
      <w:pPr>
        <w:autoSpaceDE w:val="0"/>
        <w:autoSpaceDN w:val="0"/>
        <w:adjustRightInd w:val="0"/>
        <w:jc w:val="both"/>
        <w:rPr>
          <w:rFonts w:ascii="Verdana" w:hAnsi="Verdana" w:cs="Arial"/>
          <w:lang w:val="es-ES_tradnl" w:eastAsia="es-CO"/>
        </w:rPr>
      </w:pPr>
    </w:p>
    <w:p w14:paraId="4EA98E5F"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El costo amortizado corresponde al valor del pasivo inicialmente reconocido más el costo efectivo menos los pagos de capital e intereses. El costo amortizado es un valor de entrada observable y específico para la entidad. </w:t>
      </w:r>
    </w:p>
    <w:p w14:paraId="59C7BB69" w14:textId="77777777" w:rsidR="007C7EF4" w:rsidRPr="00CD459A" w:rsidRDefault="007C7EF4" w:rsidP="007C7EF4">
      <w:pPr>
        <w:autoSpaceDE w:val="0"/>
        <w:autoSpaceDN w:val="0"/>
        <w:adjustRightInd w:val="0"/>
        <w:jc w:val="both"/>
        <w:rPr>
          <w:rFonts w:ascii="Verdana" w:hAnsi="Verdana" w:cs="Arial"/>
          <w:lang w:val="es-ES_tradnl" w:eastAsia="es-CO"/>
        </w:rPr>
      </w:pPr>
    </w:p>
    <w:p w14:paraId="5E6D905F" w14:textId="77777777" w:rsidR="007C7EF4" w:rsidRPr="00CD459A" w:rsidRDefault="007C7EF4" w:rsidP="00AB3D96">
      <w:pPr>
        <w:pStyle w:val="Prrafodelista"/>
        <w:numPr>
          <w:ilvl w:val="0"/>
          <w:numId w:val="8"/>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Costo de cumplimiento</w:t>
      </w:r>
    </w:p>
    <w:p w14:paraId="2C487590" w14:textId="77777777" w:rsidR="007C7EF4" w:rsidRPr="00CD459A" w:rsidRDefault="007C7EF4" w:rsidP="007C7EF4">
      <w:pPr>
        <w:autoSpaceDE w:val="0"/>
        <w:autoSpaceDN w:val="0"/>
        <w:adjustRightInd w:val="0"/>
        <w:jc w:val="both"/>
        <w:rPr>
          <w:rFonts w:ascii="Verdana" w:hAnsi="Verdana" w:cs="Arial"/>
          <w:lang w:val="es-ES_tradnl" w:eastAsia="es-CO"/>
        </w:rPr>
      </w:pPr>
    </w:p>
    <w:p w14:paraId="1F395358" w14:textId="59A83EFA"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costo de cumplimiento representa la mejor estimación de los costos en que la entidad incurriría para cumplir las obligaciones representadas por el pasivo. Es un valor de salida no observable y específico para una entidad.</w:t>
      </w:r>
    </w:p>
    <w:p w14:paraId="1268DC15" w14:textId="2684DA1C"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Cuando el costo de cumplimiento dependa de eventos futuros, todos los resultados posibles se tendrán en cuenta para estimar el valor requerido para cumplir la obligación, este método se conoce como el valor esperado y tiene como objetivo reflejar imparcialmente todos los desenlaces posibles. Cuando los efectos del valor del dinero en el tiempo sean significativos, el flujo de efectivo deberá descontarse.</w:t>
      </w:r>
    </w:p>
    <w:p w14:paraId="5BCFDC7B"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Cuando el cumplimiento se lleve a cabo por la entidad, el costo no debe incluir ningún excedente que esta pueda obtener por ejecutar directamente las actividades correspondientes, porque este no representa un uso de recursos por parte de la entidad. Cuando la obligación se liquide por medio de un tercero, el valor incluirá implícitamente el ingreso requerido por el contratista, dado que el valor total cobrado por el mismo será cancelado con recursos de la entidad.</w:t>
      </w:r>
    </w:p>
    <w:p w14:paraId="504A4621" w14:textId="77777777" w:rsidR="007C7EF4" w:rsidRPr="00CD459A" w:rsidRDefault="007C7EF4" w:rsidP="007C7EF4">
      <w:pPr>
        <w:autoSpaceDE w:val="0"/>
        <w:autoSpaceDN w:val="0"/>
        <w:adjustRightInd w:val="0"/>
        <w:jc w:val="both"/>
        <w:rPr>
          <w:rFonts w:ascii="Verdana" w:hAnsi="Verdana" w:cs="Arial"/>
          <w:lang w:val="es-ES_tradnl" w:eastAsia="es-CO"/>
        </w:rPr>
      </w:pPr>
    </w:p>
    <w:p w14:paraId="4C714BF6" w14:textId="77777777" w:rsidR="007C7EF4" w:rsidRPr="00CD459A" w:rsidRDefault="007C7EF4" w:rsidP="00AB3D96">
      <w:pPr>
        <w:pStyle w:val="Prrafodelista"/>
        <w:numPr>
          <w:ilvl w:val="0"/>
          <w:numId w:val="8"/>
        </w:numPr>
        <w:autoSpaceDE w:val="0"/>
        <w:autoSpaceDN w:val="0"/>
        <w:adjustRightInd w:val="0"/>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Valor de mercado</w:t>
      </w:r>
    </w:p>
    <w:p w14:paraId="317BEC64" w14:textId="77777777" w:rsidR="007C7EF4" w:rsidRPr="00CD459A" w:rsidRDefault="007C7EF4" w:rsidP="007C7EF4">
      <w:pPr>
        <w:autoSpaceDE w:val="0"/>
        <w:autoSpaceDN w:val="0"/>
        <w:adjustRightInd w:val="0"/>
        <w:jc w:val="both"/>
        <w:rPr>
          <w:rFonts w:ascii="Verdana" w:hAnsi="Verdana" w:cs="Arial"/>
          <w:lang w:val="es-ES_tradnl" w:eastAsia="es-CO"/>
        </w:rPr>
      </w:pPr>
    </w:p>
    <w:p w14:paraId="7A2891DD"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El valor de mercado de un pasivo es el valor por el cual la obligación puede ser liquidada o transferida entre partes interesadas y debidamente informadas, en una transacción realizada en condiciones de independencia mutua. Cuando el valor se obtiene en un mercado abierto, activo y ordenado, el valor de mercado puede ser un valor de entrada o de salida observable y un valor no específico para la entidad.</w:t>
      </w:r>
    </w:p>
    <w:p w14:paraId="5F946839" w14:textId="51B01D1E"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 xml:space="preserve">El valor de mercado puede ser un criterio de medición adecuado cuando el valor de la liquidación del pasivo es atribuible a cambios en una tasa, precio o índice determinados en un mercado abierto, activo y ordenado. Sin embargo, en los casos en que la capacidad de transferir un pasivo está restringida y los términos de tal transferencia no están claros, un valor de mercado es significativamente menos importante, incluso si este existe. </w:t>
      </w:r>
    </w:p>
    <w:p w14:paraId="5B6F2D5F" w14:textId="77777777" w:rsidR="007C7EF4" w:rsidRPr="00CD459A" w:rsidRDefault="007C7EF4" w:rsidP="007C7EF4">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Particularmente, este es el caso para pasivos surgidos por obligaciones de transacciones sin contraprestación porque es improbable que exista un mercado abierto, activo y ordenado para tales pasivos.</w:t>
      </w:r>
    </w:p>
    <w:p w14:paraId="532C7292" w14:textId="77777777" w:rsidR="007C7EF4" w:rsidRPr="00CD459A" w:rsidRDefault="007C7EF4" w:rsidP="007C7EF4">
      <w:pPr>
        <w:autoSpaceDE w:val="0"/>
        <w:autoSpaceDN w:val="0"/>
        <w:adjustRightInd w:val="0"/>
        <w:jc w:val="both"/>
        <w:rPr>
          <w:rFonts w:ascii="Verdana" w:hAnsi="Verdana" w:cs="Arial"/>
          <w:b/>
          <w:lang w:val="es-ES_tradnl" w:eastAsia="es-CO"/>
        </w:rPr>
      </w:pPr>
    </w:p>
    <w:p w14:paraId="6B343BCE" w14:textId="663E90E6"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151" w:name="_Toc482977971"/>
      <w:bookmarkStart w:id="152" w:name="_Toc515549329"/>
      <w:bookmarkStart w:id="153" w:name="_Toc515549723"/>
      <w:bookmarkStart w:id="154" w:name="_Toc520127185"/>
      <w:bookmarkStart w:id="155" w:name="_Toc529890254"/>
      <w:bookmarkStart w:id="156" w:name="_Toc62483921"/>
      <w:bookmarkStart w:id="157" w:name="_Toc94710208"/>
      <w:r w:rsidRPr="00CD459A">
        <w:rPr>
          <w:rFonts w:ascii="Verdana" w:hAnsi="Verdana" w:cs="Arial"/>
          <w:b/>
          <w:bCs/>
          <w:color w:val="auto"/>
          <w:sz w:val="22"/>
          <w:szCs w:val="22"/>
          <w:lang w:val="es-ES_tradnl"/>
        </w:rPr>
        <w:t xml:space="preserve">4.4 </w:t>
      </w:r>
      <w:r w:rsidR="007C7EF4" w:rsidRPr="00CD459A">
        <w:rPr>
          <w:rFonts w:ascii="Verdana" w:hAnsi="Verdana" w:cs="Arial"/>
          <w:b/>
          <w:bCs/>
          <w:color w:val="auto"/>
          <w:sz w:val="22"/>
          <w:szCs w:val="22"/>
          <w:lang w:val="es-ES_tradnl"/>
        </w:rPr>
        <w:t>REVELACIÓN DE LOS ELEMENTOS EN LOS ESTADOS FINANCIEROS</w:t>
      </w:r>
      <w:bookmarkEnd w:id="151"/>
      <w:bookmarkEnd w:id="152"/>
      <w:bookmarkEnd w:id="153"/>
      <w:bookmarkEnd w:id="154"/>
      <w:bookmarkEnd w:id="155"/>
      <w:bookmarkEnd w:id="156"/>
      <w:bookmarkEnd w:id="157"/>
    </w:p>
    <w:p w14:paraId="4DE735D6" w14:textId="77777777" w:rsidR="007C7EF4" w:rsidRPr="00CD459A" w:rsidRDefault="007C7EF4" w:rsidP="007C7EF4">
      <w:pPr>
        <w:jc w:val="both"/>
        <w:rPr>
          <w:rFonts w:ascii="Verdana" w:hAnsi="Verdana" w:cs="Arial"/>
          <w:lang w:val="es-ES_tradnl" w:eastAsia="es-CO"/>
        </w:rPr>
      </w:pPr>
    </w:p>
    <w:p w14:paraId="0DAC9A0B" w14:textId="7604E34E"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información financiera se revela en la estructura de los estados financieros, así como en sus notas explicativas.</w:t>
      </w:r>
    </w:p>
    <w:p w14:paraId="23E14EAE" w14:textId="34911A94"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La revelación hace referencia a la selección, ubicación y organización de la información financiera. Las decisiones sobre éstos tres asuntos se deben tomar teniendo en cuenta las necesidades que tienen los usuarios de conocer acerca de los hechos económicos que influyen en la estructura financiera de la entidad. </w:t>
      </w:r>
    </w:p>
    <w:p w14:paraId="6ED55554" w14:textId="3DB56154"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Las decisiones sobre la selección, ubicación y organización de la información están relacionadas y, en la práctica, es probable que se consideren conjuntamente.</w:t>
      </w:r>
    </w:p>
    <w:p w14:paraId="749F71FF" w14:textId="77777777" w:rsidR="002F75DB" w:rsidRPr="00CD459A" w:rsidRDefault="002F75DB" w:rsidP="007C7EF4">
      <w:pPr>
        <w:jc w:val="both"/>
        <w:rPr>
          <w:rFonts w:ascii="Verdana" w:hAnsi="Verdana" w:cs="Arial"/>
          <w:lang w:val="es-ES_tradnl" w:eastAsia="es-CO"/>
        </w:rPr>
      </w:pPr>
    </w:p>
    <w:p w14:paraId="09377C11" w14:textId="611E4AAF" w:rsidR="007C7EF4" w:rsidRPr="00CD459A" w:rsidRDefault="007C7EF4"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58" w:name="_Toc482977972"/>
      <w:bookmarkStart w:id="159" w:name="_Toc515549330"/>
      <w:bookmarkStart w:id="160" w:name="_Toc515549724"/>
      <w:bookmarkStart w:id="161" w:name="_Toc520127186"/>
      <w:r w:rsidRPr="00CD459A">
        <w:rPr>
          <w:rFonts w:ascii="Verdana" w:hAnsi="Verdana" w:cs="Arial"/>
          <w:color w:val="auto"/>
          <w:sz w:val="22"/>
          <w:szCs w:val="22"/>
          <w:lang w:val="es-ES_tradnl"/>
        </w:rPr>
        <w:t xml:space="preserve"> </w:t>
      </w:r>
      <w:bookmarkStart w:id="162" w:name="_Toc529890255"/>
      <w:bookmarkStart w:id="163" w:name="_Toc62483922"/>
      <w:bookmarkStart w:id="164" w:name="_Toc94710209"/>
      <w:r w:rsidR="002F75DB" w:rsidRPr="00CD459A">
        <w:rPr>
          <w:rFonts w:ascii="Verdana" w:hAnsi="Verdana" w:cs="Arial"/>
          <w:color w:val="auto"/>
          <w:sz w:val="22"/>
          <w:szCs w:val="22"/>
          <w:lang w:val="es-ES_tradnl"/>
        </w:rPr>
        <w:t xml:space="preserve">4.4.1 </w:t>
      </w:r>
      <w:r w:rsidRPr="00CD459A">
        <w:rPr>
          <w:rFonts w:ascii="Verdana" w:hAnsi="Verdana" w:cs="Arial"/>
          <w:color w:val="auto"/>
          <w:sz w:val="22"/>
          <w:szCs w:val="22"/>
          <w:lang w:val="es-ES_tradnl"/>
        </w:rPr>
        <w:t>Selección de la información</w:t>
      </w:r>
      <w:bookmarkEnd w:id="158"/>
      <w:bookmarkEnd w:id="159"/>
      <w:bookmarkEnd w:id="160"/>
      <w:bookmarkEnd w:id="161"/>
      <w:bookmarkEnd w:id="162"/>
      <w:bookmarkEnd w:id="163"/>
      <w:bookmarkEnd w:id="164"/>
    </w:p>
    <w:p w14:paraId="309F5817" w14:textId="77777777" w:rsidR="007C7EF4" w:rsidRPr="00CD459A" w:rsidRDefault="007C7EF4" w:rsidP="007C7EF4">
      <w:pPr>
        <w:jc w:val="both"/>
        <w:rPr>
          <w:rFonts w:ascii="Verdana" w:hAnsi="Verdana" w:cs="Arial"/>
          <w:lang w:val="es-ES_tradnl" w:eastAsia="es-CO"/>
        </w:rPr>
      </w:pPr>
    </w:p>
    <w:p w14:paraId="6C0341DF"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selección de la información tiene como objetivo determinar qué información se reporta en los estados financieros y en las notas.</w:t>
      </w:r>
    </w:p>
    <w:p w14:paraId="5402E7D8" w14:textId="77777777" w:rsidR="007C7EF4" w:rsidRPr="00CD459A" w:rsidRDefault="007C7EF4" w:rsidP="007C7EF4">
      <w:pPr>
        <w:jc w:val="both"/>
        <w:rPr>
          <w:rFonts w:ascii="Verdana" w:hAnsi="Verdana" w:cs="Arial"/>
          <w:lang w:val="es-ES_tradnl" w:eastAsia="es-CO"/>
        </w:rPr>
      </w:pPr>
    </w:p>
    <w:p w14:paraId="267FCA2A" w14:textId="365E178E"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información se selecciona para exponer, en la estructura de los estados financieros, los mensajes claves acerca de la situación financiera, el rendimiento financiero y los flujos de efectivo de la entidad, mientras que la información para revelar en las notas a los estados financieros se selecciona para hacer que la información expuesta sea más útil y proporcione detalles que ayudarán a los usuarios a entenderla. La información para revelar en las notas no sustituye la información a exponer en la estructura de los estados financieros.</w:t>
      </w:r>
    </w:p>
    <w:p w14:paraId="0D5D0566" w14:textId="52BA8651"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Por lo general, se debe evitar la repetición de información en los estados financieros, sin embargo, en ocasiones, la misma información puede estar a la vez expuesta y revelada. Por ejemplo, un total expuesto en el cuerpo de los estados financieros puede repetirse en las notas, cuando estas proporcionan una desagregación del total expuesto. De forma análoga, la misma información puede presentarse en diferentes estados financieros para abordar objetivos diferentes.</w:t>
      </w:r>
    </w:p>
    <w:p w14:paraId="04C085CD" w14:textId="4ABE5106"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información para revelar incluye, entre otras, lo siguiente: políticas aplicables o metodologías utilizadas para reconocer y medir la información expuesta; desagregaciones de la información expuesta; información sobre partidas que cumplen algunas características de la definición de un elemento e información sobre partidas que cumplen la definición de un elemento, pero no el criterio de reconocimiento.</w:t>
      </w:r>
    </w:p>
    <w:p w14:paraId="054C3B47" w14:textId="02372C80"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información revelada en las notas a los estados financieros tiene las siguientes características:</w:t>
      </w:r>
    </w:p>
    <w:p w14:paraId="588AD7F3" w14:textId="77777777" w:rsidR="007C7EF4" w:rsidRPr="00CD459A" w:rsidRDefault="007C7EF4" w:rsidP="00AB3D96">
      <w:pPr>
        <w:numPr>
          <w:ilvl w:val="4"/>
          <w:numId w:val="1"/>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Es necesaria para que los usuarios comprendan los estados financieros,</w:t>
      </w:r>
    </w:p>
    <w:p w14:paraId="618B7837" w14:textId="77777777" w:rsidR="007C7EF4" w:rsidRPr="00CD459A" w:rsidRDefault="007C7EF4" w:rsidP="00AB3D96">
      <w:pPr>
        <w:numPr>
          <w:ilvl w:val="4"/>
          <w:numId w:val="1"/>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Proporciona información que presentan los estados financieros de manera contextualizada y según el entorno en que opera la entidad, y</w:t>
      </w:r>
    </w:p>
    <w:p w14:paraId="3E8FC83F" w14:textId="77777777" w:rsidR="007C7EF4" w:rsidRPr="00CD459A" w:rsidRDefault="007C7EF4" w:rsidP="00AB3D96">
      <w:pPr>
        <w:numPr>
          <w:ilvl w:val="4"/>
          <w:numId w:val="1"/>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 xml:space="preserve">Tiene, generalmente, una relación clara y demostrable con la información expuesta en el cuerpo de los estados financieros a los que pertenece. </w:t>
      </w:r>
    </w:p>
    <w:p w14:paraId="2D01F2CD" w14:textId="77777777" w:rsidR="007C7EF4" w:rsidRPr="00CD459A" w:rsidRDefault="007C7EF4" w:rsidP="007C7EF4">
      <w:pPr>
        <w:jc w:val="both"/>
        <w:rPr>
          <w:rFonts w:ascii="Verdana" w:hAnsi="Verdana" w:cs="Arial"/>
          <w:lang w:val="es-ES_tradnl" w:eastAsia="es-CO"/>
        </w:rPr>
      </w:pPr>
      <w:r w:rsidRPr="00CD459A">
        <w:rPr>
          <w:rFonts w:ascii="Verdana" w:hAnsi="Verdana" w:cs="Arial"/>
        </w:rPr>
        <w:t>Las decisiones sobre selección de información requieren una revisión crítica y continua. Las transacciones materiales, sucesos y otras partidas presentadas se deben reflejar de forma que transmitan su esencia en lugar de su forma legal, a fin de que se cumplan las características cualitativas de la información financiera de Relevancia y Representación fiel.</w:t>
      </w:r>
      <w:r w:rsidRPr="00CD459A">
        <w:rPr>
          <w:rFonts w:ascii="Verdana" w:hAnsi="Verdana" w:cs="Arial"/>
          <w:lang w:val="es-ES_tradnl" w:eastAsia="es-CO"/>
        </w:rPr>
        <w:tab/>
      </w:r>
    </w:p>
    <w:p w14:paraId="3ECC7B1D" w14:textId="77777777" w:rsidR="007C7EF4" w:rsidRPr="00CD459A" w:rsidRDefault="007C7EF4" w:rsidP="007C7EF4">
      <w:pPr>
        <w:jc w:val="both"/>
        <w:rPr>
          <w:rFonts w:ascii="Verdana" w:hAnsi="Verdana" w:cs="Arial"/>
          <w:lang w:val="es-ES_tradnl" w:eastAsia="es-CO"/>
        </w:rPr>
      </w:pPr>
    </w:p>
    <w:p w14:paraId="459BDCCE" w14:textId="74A12034" w:rsidR="007C7EF4" w:rsidRPr="00CD459A" w:rsidRDefault="002F75DB"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65" w:name="_Toc482977973"/>
      <w:bookmarkStart w:id="166" w:name="_Toc515549331"/>
      <w:bookmarkStart w:id="167" w:name="_Toc515549725"/>
      <w:bookmarkStart w:id="168" w:name="_Toc520127187"/>
      <w:r w:rsidRPr="00CD459A">
        <w:rPr>
          <w:rFonts w:ascii="Verdana" w:hAnsi="Verdana" w:cs="Arial"/>
          <w:color w:val="auto"/>
          <w:sz w:val="22"/>
          <w:szCs w:val="22"/>
          <w:lang w:val="es-ES_tradnl"/>
        </w:rPr>
        <w:t>4.4.2</w:t>
      </w:r>
      <w:r w:rsidR="007C7EF4" w:rsidRPr="00CD459A">
        <w:rPr>
          <w:rFonts w:ascii="Verdana" w:hAnsi="Verdana" w:cs="Arial"/>
          <w:color w:val="auto"/>
          <w:sz w:val="22"/>
          <w:szCs w:val="22"/>
          <w:lang w:val="es-ES_tradnl"/>
        </w:rPr>
        <w:t xml:space="preserve"> </w:t>
      </w:r>
      <w:bookmarkStart w:id="169" w:name="_Toc529890256"/>
      <w:bookmarkStart w:id="170" w:name="_Toc62483923"/>
      <w:bookmarkStart w:id="171" w:name="_Toc94710210"/>
      <w:r w:rsidR="007C7EF4" w:rsidRPr="00CD459A">
        <w:rPr>
          <w:rFonts w:ascii="Verdana" w:hAnsi="Verdana" w:cs="Arial"/>
          <w:color w:val="auto"/>
          <w:sz w:val="22"/>
          <w:szCs w:val="22"/>
          <w:lang w:val="es-ES_tradnl"/>
        </w:rPr>
        <w:t>Ubicación de la información</w:t>
      </w:r>
      <w:bookmarkEnd w:id="165"/>
      <w:bookmarkEnd w:id="166"/>
      <w:bookmarkEnd w:id="167"/>
      <w:bookmarkEnd w:id="168"/>
      <w:bookmarkEnd w:id="169"/>
      <w:bookmarkEnd w:id="170"/>
      <w:bookmarkEnd w:id="171"/>
    </w:p>
    <w:p w14:paraId="07729971" w14:textId="77777777" w:rsidR="007C7EF4" w:rsidRPr="00CD459A" w:rsidRDefault="007C7EF4" w:rsidP="007C7EF4">
      <w:pPr>
        <w:jc w:val="both"/>
        <w:rPr>
          <w:rFonts w:ascii="Verdana" w:hAnsi="Verdana" w:cs="Arial"/>
          <w:lang w:val="es-ES_tradnl" w:eastAsia="es-CO"/>
        </w:rPr>
      </w:pPr>
    </w:p>
    <w:p w14:paraId="733C861B" w14:textId="292B2D9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ubicación de la información tiene un impacto en la contribución que esta pueda realizar al logro de los objetivos de la información financiera. La ubicación puede afectar la comparabilidad de la información y la manera en que los usuarios la interpretan. La ubicación puede usarse para lo siguiente:</w:t>
      </w:r>
    </w:p>
    <w:p w14:paraId="73F19C90" w14:textId="77777777" w:rsidR="007C7EF4" w:rsidRPr="00CD459A" w:rsidRDefault="007C7EF4" w:rsidP="00AB3D96">
      <w:pPr>
        <w:pStyle w:val="Prrafodelista"/>
        <w:numPr>
          <w:ilvl w:val="0"/>
          <w:numId w:val="9"/>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Trasmitir la importancia relativa de la información y su conexión con otros elementos de información,</w:t>
      </w:r>
    </w:p>
    <w:p w14:paraId="171029BD" w14:textId="77777777" w:rsidR="007C7EF4" w:rsidRPr="00CD459A" w:rsidRDefault="007C7EF4" w:rsidP="00AB3D96">
      <w:pPr>
        <w:pStyle w:val="Prrafodelista"/>
        <w:numPr>
          <w:ilvl w:val="0"/>
          <w:numId w:val="9"/>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Trasmitir la naturaleza de la información,</w:t>
      </w:r>
    </w:p>
    <w:p w14:paraId="621E0103" w14:textId="77777777" w:rsidR="007C7EF4" w:rsidRPr="00CD459A" w:rsidRDefault="007C7EF4" w:rsidP="00AB3D96">
      <w:pPr>
        <w:pStyle w:val="Prrafodelista"/>
        <w:numPr>
          <w:ilvl w:val="0"/>
          <w:numId w:val="9"/>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Vincular elementos diferentes de información que se combinan para cumplir una necesidad concreta del usuario y</w:t>
      </w:r>
    </w:p>
    <w:p w14:paraId="3419C9A0" w14:textId="77777777" w:rsidR="007C7EF4" w:rsidRPr="00CD459A" w:rsidRDefault="007C7EF4" w:rsidP="00AB3D96">
      <w:pPr>
        <w:pStyle w:val="Prrafodelista"/>
        <w:numPr>
          <w:ilvl w:val="0"/>
          <w:numId w:val="9"/>
        </w:numPr>
        <w:spacing w:after="0" w:line="240" w:lineRule="auto"/>
        <w:ind w:left="709" w:hanging="709"/>
        <w:jc w:val="both"/>
        <w:rPr>
          <w:rFonts w:ascii="Verdana" w:hAnsi="Verdana" w:cs="Arial"/>
          <w:lang w:val="es-ES_tradnl" w:eastAsia="es-CO"/>
        </w:rPr>
      </w:pPr>
      <w:r w:rsidRPr="00CD459A">
        <w:rPr>
          <w:rFonts w:ascii="Verdana" w:hAnsi="Verdana" w:cs="Arial"/>
          <w:lang w:val="es-ES_tradnl" w:eastAsia="es-CO"/>
        </w:rPr>
        <w:t>Distinguir entre la información seleccionada para exponer e información seleccionada para revelar.</w:t>
      </w:r>
    </w:p>
    <w:p w14:paraId="5C58CA6D" w14:textId="77777777" w:rsidR="007C7EF4" w:rsidRPr="00CD459A" w:rsidRDefault="007C7EF4" w:rsidP="007C7EF4">
      <w:pPr>
        <w:jc w:val="both"/>
        <w:rPr>
          <w:rFonts w:ascii="Verdana" w:hAnsi="Verdana" w:cs="Arial"/>
          <w:lang w:val="es-ES_tradnl" w:eastAsia="es-CO"/>
        </w:rPr>
      </w:pPr>
    </w:p>
    <w:p w14:paraId="555AA67E"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ubicación de la información en los estados financieros contribuye a comunicar una imagen financiera integral de la entidad. Para los estados financieros, la información expuesta se muestra en el cuerpo del estado respectivo, mientras que la información a revelar se muestra en las notas.</w:t>
      </w:r>
    </w:p>
    <w:p w14:paraId="11B20306" w14:textId="77777777" w:rsidR="007C7EF4" w:rsidRPr="00CD459A" w:rsidRDefault="007C7EF4" w:rsidP="007C7EF4">
      <w:pPr>
        <w:pStyle w:val="Ttulo3"/>
        <w:ind w:left="720"/>
        <w:jc w:val="both"/>
        <w:rPr>
          <w:rFonts w:ascii="Verdana" w:hAnsi="Verdana" w:cs="Arial"/>
          <w:color w:val="auto"/>
          <w:sz w:val="22"/>
          <w:szCs w:val="22"/>
          <w:lang w:val="es-ES_tradnl" w:eastAsia="es-CO"/>
        </w:rPr>
      </w:pPr>
    </w:p>
    <w:p w14:paraId="752AA916" w14:textId="551F9544" w:rsidR="007C7EF4" w:rsidRPr="00CD459A" w:rsidRDefault="002F75DB"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172" w:name="_Toc482977974"/>
      <w:bookmarkStart w:id="173" w:name="_Toc515549332"/>
      <w:bookmarkStart w:id="174" w:name="_Toc515549726"/>
      <w:bookmarkStart w:id="175" w:name="_Toc520127188"/>
      <w:bookmarkStart w:id="176" w:name="_Toc529890257"/>
      <w:bookmarkStart w:id="177" w:name="_Toc62483924"/>
      <w:bookmarkStart w:id="178" w:name="_Toc94710211"/>
      <w:r w:rsidRPr="00CD459A">
        <w:rPr>
          <w:rFonts w:ascii="Verdana" w:hAnsi="Verdana" w:cs="Arial"/>
          <w:color w:val="auto"/>
          <w:sz w:val="22"/>
          <w:szCs w:val="22"/>
          <w:lang w:val="es-ES_tradnl"/>
        </w:rPr>
        <w:t xml:space="preserve">4.4.3 </w:t>
      </w:r>
      <w:r w:rsidR="007C7EF4" w:rsidRPr="00CD459A">
        <w:rPr>
          <w:rFonts w:ascii="Verdana" w:hAnsi="Verdana" w:cs="Arial"/>
          <w:color w:val="auto"/>
          <w:sz w:val="22"/>
          <w:szCs w:val="22"/>
          <w:lang w:val="es-ES_tradnl"/>
        </w:rPr>
        <w:t>Organización de la información</w:t>
      </w:r>
      <w:bookmarkEnd w:id="172"/>
      <w:bookmarkEnd w:id="173"/>
      <w:bookmarkEnd w:id="174"/>
      <w:bookmarkEnd w:id="175"/>
      <w:bookmarkEnd w:id="176"/>
      <w:bookmarkEnd w:id="177"/>
      <w:bookmarkEnd w:id="178"/>
    </w:p>
    <w:p w14:paraId="00A59BC5" w14:textId="77777777" w:rsidR="007C7EF4" w:rsidRPr="00CD459A" w:rsidRDefault="007C7EF4" w:rsidP="007C7EF4">
      <w:pPr>
        <w:ind w:left="720"/>
        <w:jc w:val="both"/>
        <w:rPr>
          <w:rFonts w:ascii="Verdana" w:hAnsi="Verdana" w:cs="Arial"/>
          <w:lang w:val="es-ES_tradnl"/>
        </w:rPr>
      </w:pPr>
    </w:p>
    <w:p w14:paraId="6C5581E5"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organización de la información se refiere a la clasificación y agrupación que debe tener en los estados financieros. La manera como se organiza la información puede afectar la interpretación por parte de los usuarios.</w:t>
      </w:r>
    </w:p>
    <w:p w14:paraId="27652A47" w14:textId="77777777" w:rsidR="007C7EF4" w:rsidRPr="00CD459A" w:rsidRDefault="007C7EF4" w:rsidP="007C7EF4">
      <w:pPr>
        <w:jc w:val="both"/>
        <w:rPr>
          <w:rFonts w:ascii="Verdana" w:hAnsi="Verdana" w:cs="Arial"/>
          <w:lang w:val="es-ES_tradnl" w:eastAsia="es-CO"/>
        </w:rPr>
      </w:pPr>
    </w:p>
    <w:p w14:paraId="6F139D0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La organización de la información ayuda a garantizar que los mensajes claves sean comprensibles, identifica claramente las relaciones importantes, destaca apropiadamente la información que comunica los mensajes claves y facilita las comparaciones.</w:t>
      </w:r>
    </w:p>
    <w:p w14:paraId="5E7B7745" w14:textId="77777777" w:rsidR="007C7EF4" w:rsidRPr="00CD459A" w:rsidRDefault="007C7EF4" w:rsidP="007C7EF4">
      <w:pPr>
        <w:tabs>
          <w:tab w:val="left" w:pos="0"/>
          <w:tab w:val="left" w:pos="142"/>
          <w:tab w:val="left" w:pos="284"/>
        </w:tabs>
        <w:jc w:val="both"/>
        <w:rPr>
          <w:rFonts w:ascii="Verdana" w:hAnsi="Verdana" w:cs="Arial"/>
          <w:lang w:val="es-ES_tradnl"/>
        </w:rPr>
      </w:pPr>
      <w:r w:rsidRPr="00CD459A">
        <w:rPr>
          <w:rFonts w:ascii="Verdana" w:hAnsi="Verdana" w:cs="Arial"/>
        </w:rPr>
        <w:t>Al organizar la información, se deben tomar una serie de decisiones que tienen que ver con el uso de referencias cruzadas, tablas, gráficos, encabezados, numeración y disposición de las partidas dentro de un componente concreto del informe.</w:t>
      </w:r>
    </w:p>
    <w:p w14:paraId="0613CC17" w14:textId="5AB1930E" w:rsidR="007C7EF4" w:rsidRPr="00CD459A" w:rsidRDefault="007C7EF4" w:rsidP="007C7EF4">
      <w:pPr>
        <w:tabs>
          <w:tab w:val="left" w:pos="0"/>
          <w:tab w:val="left" w:pos="142"/>
          <w:tab w:val="left" w:pos="284"/>
        </w:tabs>
        <w:jc w:val="both"/>
        <w:rPr>
          <w:rFonts w:ascii="Verdana" w:hAnsi="Verdana" w:cs="Arial"/>
          <w:lang w:val="es-ES_tradnl" w:eastAsia="es-CO"/>
        </w:rPr>
      </w:pPr>
      <w:r w:rsidRPr="00CD459A">
        <w:rPr>
          <w:rFonts w:ascii="Verdana" w:hAnsi="Verdana" w:cs="Arial"/>
          <w:lang w:val="es-ES_tradnl" w:eastAsia="es-CO"/>
        </w:rPr>
        <w:t>La información reconocida en el cuerpo de los estados financieros usualmente se organiza en totales y subtotales numéricos. Esta organización proporciona una visión estructurada de temas como la situación financiera, el resultado y los flujos de efectivo, de la entidad.</w:t>
      </w:r>
    </w:p>
    <w:p w14:paraId="4089437B" w14:textId="77777777" w:rsidR="007C7EF4" w:rsidRPr="00CD459A" w:rsidRDefault="007C7EF4" w:rsidP="007C7EF4">
      <w:pPr>
        <w:tabs>
          <w:tab w:val="left" w:pos="0"/>
          <w:tab w:val="left" w:pos="142"/>
          <w:tab w:val="left" w:pos="284"/>
        </w:tabs>
        <w:jc w:val="both"/>
        <w:rPr>
          <w:rFonts w:ascii="Verdana" w:hAnsi="Verdana" w:cs="Arial"/>
          <w:lang w:val="es-ES_tradnl" w:eastAsia="es-CO"/>
        </w:rPr>
      </w:pPr>
      <w:r w:rsidRPr="00CD459A">
        <w:rPr>
          <w:rFonts w:ascii="Verdana" w:hAnsi="Verdana" w:cs="Arial"/>
          <w:lang w:val="es-ES_tradnl" w:eastAsia="es-CO"/>
        </w:rPr>
        <w:t xml:space="preserve">La información revelada en las notas a los estados financieros se organiza de modo que las relaciones con las partidas presentadas en el cuerpo de los estados financieros sean claras. </w:t>
      </w:r>
    </w:p>
    <w:p w14:paraId="6CEE9734" w14:textId="77777777" w:rsidR="007C7EF4" w:rsidRPr="00CD459A" w:rsidRDefault="007C7EF4" w:rsidP="007C7EF4">
      <w:pPr>
        <w:tabs>
          <w:tab w:val="left" w:pos="0"/>
          <w:tab w:val="left" w:pos="142"/>
          <w:tab w:val="left" w:pos="284"/>
        </w:tabs>
        <w:jc w:val="both"/>
        <w:rPr>
          <w:rFonts w:ascii="Verdana" w:hAnsi="Verdana" w:cs="Arial"/>
          <w:lang w:val="es-ES_tradnl" w:eastAsia="es-CO"/>
        </w:rPr>
      </w:pPr>
    </w:p>
    <w:p w14:paraId="182B97B6" w14:textId="3A6A7877" w:rsidR="007C7EF4" w:rsidRPr="00CD459A" w:rsidRDefault="002F75DB"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179" w:name="_Toc517171888"/>
      <w:bookmarkStart w:id="180" w:name="_Toc517172200"/>
      <w:bookmarkStart w:id="181" w:name="_Toc517172512"/>
      <w:bookmarkStart w:id="182" w:name="_Toc62483925"/>
      <w:bookmarkStart w:id="183" w:name="_Toc94710212"/>
      <w:bookmarkEnd w:id="179"/>
      <w:bookmarkEnd w:id="180"/>
      <w:bookmarkEnd w:id="181"/>
      <w:r w:rsidRPr="00CD459A">
        <w:rPr>
          <w:rFonts w:ascii="Verdana" w:hAnsi="Verdana" w:cs="Arial"/>
          <w:color w:val="auto"/>
          <w:sz w:val="22"/>
          <w:szCs w:val="22"/>
        </w:rPr>
        <w:t xml:space="preserve">4.4.4 </w:t>
      </w:r>
      <w:r w:rsidR="007C7EF4" w:rsidRPr="00CD459A">
        <w:rPr>
          <w:rFonts w:ascii="Verdana" w:hAnsi="Verdana" w:cs="Arial"/>
          <w:color w:val="auto"/>
          <w:sz w:val="22"/>
          <w:szCs w:val="22"/>
        </w:rPr>
        <w:t>Control interno a las políticas contables</w:t>
      </w:r>
      <w:bookmarkEnd w:id="182"/>
      <w:bookmarkEnd w:id="183"/>
    </w:p>
    <w:p w14:paraId="5B67D14B" w14:textId="77777777" w:rsidR="007C7EF4" w:rsidRPr="00CD459A" w:rsidRDefault="007C7EF4" w:rsidP="007C7EF4">
      <w:pPr>
        <w:jc w:val="both"/>
        <w:rPr>
          <w:rFonts w:ascii="Verdana" w:hAnsi="Verdana" w:cs="Arial"/>
        </w:rPr>
      </w:pPr>
    </w:p>
    <w:p w14:paraId="38D52295" w14:textId="77777777" w:rsidR="007C7EF4" w:rsidRPr="00CD459A" w:rsidRDefault="007C7EF4" w:rsidP="007C7EF4">
      <w:pPr>
        <w:jc w:val="both"/>
        <w:rPr>
          <w:rFonts w:ascii="Verdana" w:hAnsi="Verdana" w:cs="Arial"/>
        </w:rPr>
      </w:pPr>
      <w:r w:rsidRPr="00CD459A">
        <w:rPr>
          <w:rFonts w:ascii="Verdana" w:hAnsi="Verdana" w:cs="Arial"/>
        </w:rPr>
        <w:t xml:space="preserve">Es un proceso que se adelanta con el fin de lograr la existencia y efectividad de los procedimientos de control y verificación de las actividades propias del proceso contable, capaces de garantizar razonablemente que la información financiera cumpla con las características cualitativas de la información contable y financiera, esto es la representación fiel y la relevancia (fundamentales), así como las características de comparabilidad, verificabilidad, oportunidad y comprensibilidad (de mejora), que deberá realizarse de acuerdo con el sistema de Control Interno del Ministerio de Hacienda y Crédito Público. </w:t>
      </w:r>
    </w:p>
    <w:p w14:paraId="639C7D07" w14:textId="77777777" w:rsidR="007C7EF4" w:rsidRPr="00CD459A" w:rsidRDefault="007C7EF4" w:rsidP="007C7EF4">
      <w:pPr>
        <w:jc w:val="both"/>
        <w:rPr>
          <w:rFonts w:ascii="Verdana" w:hAnsi="Verdana" w:cs="Arial"/>
        </w:rPr>
      </w:pPr>
    </w:p>
    <w:p w14:paraId="057559A7" w14:textId="3F8AA455"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color w:val="auto"/>
          <w:kern w:val="28"/>
          <w:sz w:val="22"/>
          <w:szCs w:val="22"/>
          <w:lang w:val="es-ES_tradnl"/>
        </w:rPr>
      </w:pPr>
      <w:bookmarkStart w:id="184" w:name="_Toc490726941"/>
      <w:bookmarkStart w:id="185" w:name="_Toc490727889"/>
      <w:bookmarkStart w:id="186" w:name="_Toc515549283"/>
      <w:bookmarkStart w:id="187" w:name="_Toc515549677"/>
      <w:bookmarkStart w:id="188" w:name="_Toc520127139"/>
      <w:bookmarkStart w:id="189" w:name="_Toc529890208"/>
      <w:bookmarkStart w:id="190" w:name="_Toc62483926"/>
      <w:bookmarkStart w:id="191" w:name="_Toc94710213"/>
      <w:r w:rsidRPr="00CD459A">
        <w:rPr>
          <w:rFonts w:ascii="Verdana" w:hAnsi="Verdana" w:cs="Arial"/>
          <w:b/>
          <w:color w:val="auto"/>
          <w:kern w:val="28"/>
          <w:sz w:val="22"/>
          <w:szCs w:val="22"/>
          <w:lang w:val="es-ES_tradnl"/>
        </w:rPr>
        <w:t xml:space="preserve">4.5 </w:t>
      </w:r>
      <w:r w:rsidR="007C7EF4" w:rsidRPr="00CD459A">
        <w:rPr>
          <w:rFonts w:ascii="Verdana" w:hAnsi="Verdana" w:cs="Arial"/>
          <w:b/>
          <w:color w:val="auto"/>
          <w:kern w:val="28"/>
          <w:sz w:val="22"/>
          <w:szCs w:val="22"/>
          <w:lang w:val="es-ES_tradnl"/>
        </w:rPr>
        <w:t>LISTA DE SIGLAS</w:t>
      </w:r>
      <w:bookmarkEnd w:id="184"/>
      <w:bookmarkEnd w:id="185"/>
      <w:bookmarkEnd w:id="186"/>
      <w:bookmarkEnd w:id="187"/>
      <w:bookmarkEnd w:id="188"/>
      <w:bookmarkEnd w:id="189"/>
      <w:bookmarkEnd w:id="190"/>
      <w:bookmarkEnd w:id="191"/>
    </w:p>
    <w:p w14:paraId="01FD028F" w14:textId="77777777" w:rsidR="007C7EF4" w:rsidRPr="00CD459A" w:rsidRDefault="007C7EF4" w:rsidP="007C7EF4">
      <w:pPr>
        <w:pStyle w:val="Ttulo4"/>
        <w:ind w:left="720"/>
        <w:jc w:val="both"/>
        <w:rPr>
          <w:rFonts w:ascii="Verdana" w:hAnsi="Verdana" w:cs="Arial"/>
          <w:b w:val="0"/>
          <w:sz w:val="22"/>
          <w:szCs w:val="22"/>
          <w:lang w:val="es-ES_tradnl"/>
        </w:rPr>
      </w:pPr>
      <w:r w:rsidRPr="00CD459A">
        <w:rPr>
          <w:rFonts w:ascii="Verdana" w:hAnsi="Verdana" w:cs="Arial"/>
          <w:b w:val="0"/>
          <w:sz w:val="22"/>
          <w:szCs w:val="22"/>
          <w:lang w:val="es-ES_tradnl"/>
        </w:rPr>
        <w:tab/>
      </w:r>
    </w:p>
    <w:p w14:paraId="4247CF63" w14:textId="77777777" w:rsidR="002F75DB" w:rsidRPr="00CD459A" w:rsidRDefault="007C7EF4" w:rsidP="002F75DB">
      <w:pPr>
        <w:spacing w:after="0"/>
        <w:jc w:val="both"/>
        <w:rPr>
          <w:rFonts w:ascii="Verdana" w:hAnsi="Verdana" w:cs="Arial"/>
          <w:lang w:val="es-ES_tradnl"/>
        </w:rPr>
      </w:pPr>
      <w:r w:rsidRPr="00CD459A">
        <w:rPr>
          <w:rFonts w:ascii="Verdana" w:hAnsi="Verdana" w:cs="Arial"/>
          <w:lang w:val="es-ES_tradnl"/>
        </w:rPr>
        <w:t>SGR:</w:t>
      </w:r>
      <w:r w:rsidRPr="00CD459A">
        <w:rPr>
          <w:rFonts w:ascii="Verdana" w:hAnsi="Verdana" w:cs="Arial"/>
          <w:lang w:val="es-ES_tradnl"/>
        </w:rPr>
        <w:tab/>
      </w:r>
      <w:r w:rsidRPr="00CD459A">
        <w:rPr>
          <w:rFonts w:ascii="Verdana" w:hAnsi="Verdana" w:cs="Arial"/>
          <w:lang w:val="es-ES_tradnl"/>
        </w:rPr>
        <w:tab/>
        <w:t xml:space="preserve">   Sistema General de Regalías.</w:t>
      </w:r>
    </w:p>
    <w:p w14:paraId="6119444B" w14:textId="1347BDC4" w:rsidR="007C7EF4" w:rsidRPr="00CD459A" w:rsidRDefault="007C7EF4" w:rsidP="002F75DB">
      <w:pPr>
        <w:spacing w:after="0"/>
        <w:jc w:val="both"/>
        <w:rPr>
          <w:rFonts w:ascii="Verdana" w:hAnsi="Verdana" w:cs="Arial"/>
          <w:lang w:val="es-ES_tradnl"/>
        </w:rPr>
      </w:pPr>
      <w:r w:rsidRPr="00CD459A">
        <w:rPr>
          <w:rFonts w:ascii="Verdana" w:hAnsi="Verdana" w:cs="Arial"/>
          <w:lang w:val="es-ES_tradnl"/>
        </w:rPr>
        <w:t>CGN:</w:t>
      </w:r>
      <w:r w:rsidRPr="00CD459A">
        <w:rPr>
          <w:rFonts w:ascii="Verdana" w:hAnsi="Verdana" w:cs="Arial"/>
          <w:lang w:val="es-ES_tradnl"/>
        </w:rPr>
        <w:tab/>
      </w:r>
      <w:r w:rsidRPr="00CD459A">
        <w:rPr>
          <w:rFonts w:ascii="Verdana" w:hAnsi="Verdana" w:cs="Arial"/>
          <w:lang w:val="es-ES_tradnl"/>
        </w:rPr>
        <w:tab/>
        <w:t xml:space="preserve">   Contaduría General de la Nación </w:t>
      </w:r>
    </w:p>
    <w:p w14:paraId="215DE443" w14:textId="77777777" w:rsidR="007C7EF4" w:rsidRPr="00CD459A" w:rsidRDefault="007C7EF4" w:rsidP="002F75DB">
      <w:pPr>
        <w:tabs>
          <w:tab w:val="left" w:pos="1134"/>
        </w:tabs>
        <w:spacing w:after="0"/>
        <w:jc w:val="both"/>
        <w:rPr>
          <w:rFonts w:ascii="Verdana" w:hAnsi="Verdana" w:cs="Arial"/>
          <w:lang w:val="es-ES_tradnl"/>
        </w:rPr>
      </w:pPr>
      <w:r w:rsidRPr="00CD459A">
        <w:rPr>
          <w:rFonts w:ascii="Verdana" w:hAnsi="Verdana" w:cs="Arial"/>
          <w:lang w:val="es-ES_tradnl"/>
        </w:rPr>
        <w:t>CHIP:</w:t>
      </w:r>
      <w:r w:rsidRPr="00CD459A">
        <w:rPr>
          <w:rFonts w:ascii="Verdana" w:hAnsi="Verdana" w:cs="Arial"/>
          <w:lang w:val="es-ES_tradnl"/>
        </w:rPr>
        <w:tab/>
      </w:r>
      <w:r w:rsidRPr="00CD459A">
        <w:rPr>
          <w:rFonts w:ascii="Verdana" w:hAnsi="Verdana" w:cs="Arial"/>
          <w:lang w:val="es-ES_tradnl"/>
        </w:rPr>
        <w:tab/>
        <w:t xml:space="preserve">   Sistema Consolidador de Hacienda e Información Financiera Pública</w:t>
      </w:r>
    </w:p>
    <w:p w14:paraId="2A0AB136" w14:textId="42EB5968" w:rsidR="007C7EF4" w:rsidRPr="00CD459A" w:rsidRDefault="007C7EF4" w:rsidP="002F75DB">
      <w:pPr>
        <w:tabs>
          <w:tab w:val="left" w:pos="1134"/>
        </w:tabs>
        <w:spacing w:after="0"/>
        <w:jc w:val="both"/>
        <w:rPr>
          <w:rFonts w:ascii="Verdana" w:hAnsi="Verdana" w:cs="Arial"/>
          <w:lang w:val="es-ES_tradnl"/>
        </w:rPr>
      </w:pPr>
      <w:r w:rsidRPr="00CD459A">
        <w:rPr>
          <w:rFonts w:ascii="Verdana" w:hAnsi="Verdana" w:cs="Arial"/>
          <w:lang w:val="es-ES_tradnl"/>
        </w:rPr>
        <w:t>MNEG:</w:t>
      </w:r>
      <w:r w:rsidRPr="00CD459A">
        <w:rPr>
          <w:rFonts w:ascii="Verdana" w:hAnsi="Verdana" w:cs="Arial"/>
          <w:lang w:val="es-ES_tradnl"/>
        </w:rPr>
        <w:tab/>
        <w:t xml:space="preserve">       Marco Normativo para Entidades de Gobierno</w:t>
      </w:r>
    </w:p>
    <w:p w14:paraId="773D3A68" w14:textId="77777777" w:rsidR="007C7EF4" w:rsidRPr="00CD459A" w:rsidRDefault="007C7EF4" w:rsidP="002F75DB">
      <w:pPr>
        <w:tabs>
          <w:tab w:val="left" w:pos="1134"/>
        </w:tabs>
        <w:spacing w:after="0"/>
        <w:jc w:val="both"/>
        <w:rPr>
          <w:rFonts w:ascii="Verdana" w:hAnsi="Verdana" w:cs="Arial"/>
          <w:lang w:val="es-ES_tradnl"/>
        </w:rPr>
      </w:pPr>
      <w:r w:rsidRPr="00CD459A">
        <w:rPr>
          <w:rFonts w:ascii="Verdana" w:hAnsi="Verdana" w:cs="Arial"/>
          <w:lang w:val="es-ES_tradnl"/>
        </w:rPr>
        <w:t>RCP:</w:t>
      </w:r>
      <w:r w:rsidRPr="00CD459A">
        <w:rPr>
          <w:rFonts w:ascii="Verdana" w:hAnsi="Verdana" w:cs="Arial"/>
          <w:lang w:val="es-ES_tradnl"/>
        </w:rPr>
        <w:tab/>
      </w:r>
      <w:r w:rsidRPr="00CD459A">
        <w:rPr>
          <w:rFonts w:ascii="Verdana" w:hAnsi="Verdana" w:cs="Arial"/>
          <w:lang w:val="es-ES_tradnl"/>
        </w:rPr>
        <w:tab/>
        <w:t xml:space="preserve">   Régimen de Contabilidad Pública</w:t>
      </w:r>
    </w:p>
    <w:p w14:paraId="02F6A72A" w14:textId="6A11AB73" w:rsidR="007C7EF4" w:rsidRPr="00CD459A" w:rsidRDefault="007C7EF4" w:rsidP="002F75DB">
      <w:pPr>
        <w:tabs>
          <w:tab w:val="left" w:pos="1134"/>
        </w:tabs>
        <w:spacing w:after="0"/>
        <w:jc w:val="both"/>
        <w:rPr>
          <w:rFonts w:ascii="Verdana" w:hAnsi="Verdana" w:cs="Arial"/>
          <w:lang w:val="es-ES_tradnl"/>
        </w:rPr>
      </w:pPr>
      <w:r w:rsidRPr="00CD459A">
        <w:rPr>
          <w:rFonts w:ascii="Verdana" w:hAnsi="Verdana" w:cs="Arial"/>
          <w:lang w:val="es-ES_tradnl"/>
        </w:rPr>
        <w:t>SPGR:</w:t>
      </w:r>
      <w:r w:rsidRPr="00CD459A">
        <w:rPr>
          <w:rFonts w:ascii="Verdana" w:hAnsi="Verdana" w:cs="Arial"/>
          <w:lang w:val="es-ES_tradnl"/>
        </w:rPr>
        <w:tab/>
        <w:t xml:space="preserve">       Sistema de Presupuesto y Giro de Regalías.</w:t>
      </w:r>
    </w:p>
    <w:p w14:paraId="4B77A1A4" w14:textId="77777777" w:rsidR="007C7EF4" w:rsidRPr="00CD459A" w:rsidRDefault="007C7EF4" w:rsidP="002F75DB">
      <w:pPr>
        <w:tabs>
          <w:tab w:val="left" w:pos="1134"/>
        </w:tabs>
        <w:spacing w:after="0"/>
        <w:jc w:val="both"/>
        <w:rPr>
          <w:rFonts w:ascii="Verdana" w:hAnsi="Verdana" w:cs="Arial"/>
          <w:lang w:eastAsia="es-CO"/>
        </w:rPr>
      </w:pPr>
      <w:r w:rsidRPr="00CD459A">
        <w:rPr>
          <w:rFonts w:ascii="Verdana" w:hAnsi="Verdana" w:cs="Arial"/>
          <w:lang w:eastAsia="es-CO"/>
        </w:rPr>
        <w:t>NICSP</w:t>
      </w:r>
      <w:r w:rsidRPr="00CD459A">
        <w:rPr>
          <w:rFonts w:ascii="Verdana" w:hAnsi="Verdana" w:cs="Arial"/>
          <w:lang w:eastAsia="es-CO"/>
        </w:rPr>
        <w:tab/>
      </w:r>
      <w:r w:rsidRPr="00CD459A">
        <w:rPr>
          <w:rFonts w:ascii="Verdana" w:hAnsi="Verdana" w:cs="Arial"/>
          <w:lang w:eastAsia="es-CO"/>
        </w:rPr>
        <w:tab/>
        <w:t xml:space="preserve">   Normas Internacionales de Contabilidad para el Sector Publico</w:t>
      </w:r>
    </w:p>
    <w:p w14:paraId="4780F0F0" w14:textId="77777777" w:rsidR="007C7EF4" w:rsidRPr="00CD459A" w:rsidRDefault="007C7EF4" w:rsidP="002F75DB">
      <w:pPr>
        <w:tabs>
          <w:tab w:val="left" w:pos="1134"/>
        </w:tabs>
        <w:spacing w:after="0"/>
        <w:jc w:val="both"/>
        <w:rPr>
          <w:rFonts w:ascii="Verdana" w:hAnsi="Verdana" w:cs="Arial"/>
          <w:lang w:val="es-ES_tradnl"/>
        </w:rPr>
      </w:pPr>
      <w:r w:rsidRPr="00CD459A">
        <w:rPr>
          <w:rFonts w:ascii="Verdana" w:hAnsi="Verdana" w:cs="Arial"/>
          <w:lang w:eastAsia="es-CO"/>
        </w:rPr>
        <w:t>DGCPTN</w:t>
      </w:r>
      <w:r w:rsidRPr="00CD459A">
        <w:rPr>
          <w:rFonts w:ascii="Verdana" w:hAnsi="Verdana" w:cs="Arial"/>
          <w:lang w:eastAsia="es-CO"/>
        </w:rPr>
        <w:tab/>
      </w:r>
      <w:r w:rsidRPr="00CD459A">
        <w:rPr>
          <w:rFonts w:ascii="Verdana" w:hAnsi="Verdana" w:cs="Arial"/>
          <w:lang w:eastAsia="es-CO"/>
        </w:rPr>
        <w:tab/>
        <w:t xml:space="preserve">   Dirección General de Crédito Público y Tesoro Nacional</w:t>
      </w:r>
    </w:p>
    <w:p w14:paraId="38A8084C" w14:textId="77777777" w:rsidR="007C7EF4" w:rsidRPr="00CD459A" w:rsidRDefault="007C7EF4" w:rsidP="007C7EF4">
      <w:pPr>
        <w:jc w:val="both"/>
        <w:rPr>
          <w:rFonts w:ascii="Verdana" w:hAnsi="Verdana" w:cs="Arial"/>
          <w:lang w:val="es-ES_tradnl"/>
        </w:rPr>
      </w:pPr>
    </w:p>
    <w:p w14:paraId="21530EAC" w14:textId="77777777" w:rsidR="007C7EF4" w:rsidRPr="00CD459A" w:rsidRDefault="007C7EF4" w:rsidP="007C7EF4">
      <w:pPr>
        <w:jc w:val="both"/>
        <w:rPr>
          <w:rFonts w:ascii="Verdana" w:hAnsi="Verdana" w:cs="Arial"/>
          <w:lang w:val="es-ES_tradnl"/>
        </w:rPr>
      </w:pPr>
    </w:p>
    <w:p w14:paraId="0A66A5C5" w14:textId="77777777" w:rsidR="007C7EF4" w:rsidRPr="00CD459A" w:rsidRDefault="007C7EF4" w:rsidP="007C7EF4">
      <w:pPr>
        <w:jc w:val="both"/>
        <w:rPr>
          <w:rFonts w:ascii="Verdana" w:hAnsi="Verdana" w:cs="Arial"/>
          <w:lang w:val="es-ES_tradnl"/>
        </w:rPr>
      </w:pPr>
    </w:p>
    <w:p w14:paraId="3B60C184" w14:textId="77777777" w:rsidR="002F75DB" w:rsidRPr="00CD459A" w:rsidRDefault="002F75DB" w:rsidP="007C7EF4">
      <w:pPr>
        <w:jc w:val="both"/>
        <w:rPr>
          <w:rFonts w:ascii="Verdana" w:hAnsi="Verdana" w:cs="Arial"/>
          <w:lang w:val="es-ES_tradnl"/>
        </w:rPr>
      </w:pPr>
    </w:p>
    <w:p w14:paraId="1EF21C68" w14:textId="678DCF84" w:rsidR="007C7EF4" w:rsidRPr="00CD459A" w:rsidRDefault="002F75DB" w:rsidP="007C7EF4">
      <w:pPr>
        <w:pStyle w:val="Ttulo1"/>
        <w:widowControl w:val="0"/>
        <w:spacing w:before="0" w:after="0"/>
        <w:jc w:val="both"/>
        <w:rPr>
          <w:rFonts w:ascii="Verdana" w:hAnsi="Verdana"/>
          <w:sz w:val="22"/>
          <w:szCs w:val="22"/>
          <w:lang w:val="es-ES_tradnl"/>
        </w:rPr>
      </w:pPr>
      <w:bookmarkStart w:id="192" w:name="_Toc62483927"/>
      <w:bookmarkStart w:id="193" w:name="_Toc94710214"/>
      <w:r w:rsidRPr="00CD459A">
        <w:rPr>
          <w:rFonts w:ascii="Verdana" w:hAnsi="Verdana"/>
          <w:sz w:val="22"/>
          <w:szCs w:val="22"/>
          <w:lang w:val="es-ES_tradnl"/>
        </w:rPr>
        <w:t xml:space="preserve">5. </w:t>
      </w:r>
      <w:r w:rsidR="007C7EF4" w:rsidRPr="00CD459A">
        <w:rPr>
          <w:rFonts w:ascii="Verdana" w:hAnsi="Verdana"/>
          <w:sz w:val="22"/>
          <w:szCs w:val="22"/>
          <w:lang w:val="es-ES_tradnl"/>
        </w:rPr>
        <w:t>POLÍTICAS CONTABLES - ASPECTOS PRELIMINARES</w:t>
      </w:r>
      <w:bookmarkEnd w:id="36"/>
      <w:bookmarkEnd w:id="192"/>
      <w:bookmarkEnd w:id="193"/>
    </w:p>
    <w:p w14:paraId="1A27666A" w14:textId="77777777" w:rsidR="007C7EF4" w:rsidRPr="00CD459A" w:rsidRDefault="007C7EF4" w:rsidP="007C7EF4">
      <w:pPr>
        <w:jc w:val="both"/>
        <w:rPr>
          <w:rFonts w:ascii="Verdana" w:hAnsi="Verdana" w:cs="Arial"/>
          <w:lang w:val="es-ES_tradnl"/>
        </w:rPr>
      </w:pPr>
      <w:bookmarkStart w:id="194" w:name="_Toc126143692"/>
      <w:bookmarkStart w:id="195" w:name="_Toc126144694"/>
      <w:bookmarkStart w:id="196" w:name="_Toc126144876"/>
      <w:bookmarkStart w:id="197" w:name="_Toc126144946"/>
      <w:bookmarkStart w:id="198" w:name="_Toc126147376"/>
      <w:bookmarkStart w:id="199" w:name="_Toc126301042"/>
    </w:p>
    <w:p w14:paraId="7490A0E9" w14:textId="019EF0A7"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color w:val="auto"/>
          <w:kern w:val="28"/>
          <w:sz w:val="22"/>
          <w:szCs w:val="22"/>
          <w:lang w:val="es-ES_tradnl"/>
        </w:rPr>
      </w:pPr>
      <w:bookmarkStart w:id="200" w:name="_Toc397936242"/>
      <w:bookmarkStart w:id="201" w:name="_Toc490726942"/>
      <w:bookmarkStart w:id="202" w:name="_Toc490727890"/>
      <w:bookmarkStart w:id="203" w:name="_Toc515549284"/>
      <w:bookmarkStart w:id="204" w:name="_Toc515549678"/>
      <w:bookmarkStart w:id="205" w:name="_Toc520127140"/>
      <w:bookmarkStart w:id="206" w:name="_Toc529890209"/>
      <w:bookmarkStart w:id="207" w:name="_Toc62483928"/>
      <w:bookmarkStart w:id="208" w:name="_Toc94710215"/>
      <w:r w:rsidRPr="00CD459A">
        <w:rPr>
          <w:rFonts w:ascii="Verdana" w:hAnsi="Verdana" w:cs="Arial"/>
          <w:b/>
          <w:color w:val="auto"/>
          <w:kern w:val="28"/>
          <w:sz w:val="22"/>
          <w:szCs w:val="22"/>
          <w:lang w:val="es-ES_tradnl"/>
        </w:rPr>
        <w:t xml:space="preserve">5.1 </w:t>
      </w:r>
      <w:r w:rsidR="007C7EF4" w:rsidRPr="00CD459A">
        <w:rPr>
          <w:rFonts w:ascii="Verdana" w:hAnsi="Verdana" w:cs="Arial"/>
          <w:b/>
          <w:color w:val="auto"/>
          <w:kern w:val="28"/>
          <w:sz w:val="22"/>
          <w:szCs w:val="22"/>
          <w:lang w:val="es-ES_tradnl"/>
        </w:rPr>
        <w:t>NORMATIVIDAD</w:t>
      </w:r>
      <w:bookmarkEnd w:id="200"/>
      <w:bookmarkEnd w:id="201"/>
      <w:bookmarkEnd w:id="202"/>
      <w:bookmarkEnd w:id="203"/>
      <w:bookmarkEnd w:id="204"/>
      <w:bookmarkEnd w:id="205"/>
      <w:bookmarkEnd w:id="206"/>
      <w:bookmarkEnd w:id="207"/>
      <w:bookmarkEnd w:id="208"/>
    </w:p>
    <w:p w14:paraId="6B79F185" w14:textId="77777777" w:rsidR="007C7EF4" w:rsidRPr="00CD459A" w:rsidRDefault="007C7EF4" w:rsidP="007C7EF4">
      <w:pPr>
        <w:jc w:val="both"/>
        <w:rPr>
          <w:rFonts w:ascii="Verdana" w:hAnsi="Verdana" w:cs="Arial"/>
          <w:lang w:val="es-ES_tradnl"/>
        </w:rPr>
      </w:pPr>
    </w:p>
    <w:p w14:paraId="4033644B"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Acto legislativo 05 de 2011 que modificó los artículos 360 y 361 de la Constitución Política de Colombia, mediante el cual se creó el Sistema General de Regalías.</w:t>
      </w:r>
    </w:p>
    <w:p w14:paraId="0E9B5728" w14:textId="77777777" w:rsidR="007C7EF4" w:rsidRPr="00CD459A" w:rsidRDefault="007C7EF4" w:rsidP="007C7EF4">
      <w:pPr>
        <w:pStyle w:val="Textoindependiente"/>
        <w:rPr>
          <w:rFonts w:ascii="Verdana" w:eastAsia="Tahoma" w:hAnsi="Verdana" w:cs="Arial"/>
          <w:sz w:val="22"/>
          <w:szCs w:val="22"/>
        </w:rPr>
      </w:pPr>
    </w:p>
    <w:p w14:paraId="786B5F10"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Acto legislativo 04 de 2017 que modificó el artículo 361 de la Constitución Política de Colombia, asignando recursos del Sistema General de Regalías para la implementación de los acuerdos de paz.</w:t>
      </w:r>
    </w:p>
    <w:p w14:paraId="4A2AD83B" w14:textId="77777777" w:rsidR="007C7EF4" w:rsidRPr="00CD459A" w:rsidRDefault="007C7EF4" w:rsidP="007C7EF4">
      <w:pPr>
        <w:pStyle w:val="Textoindependiente"/>
        <w:rPr>
          <w:rFonts w:ascii="Verdana" w:eastAsia="Tahoma" w:hAnsi="Verdana" w:cs="Arial"/>
          <w:sz w:val="22"/>
          <w:szCs w:val="22"/>
        </w:rPr>
      </w:pPr>
    </w:p>
    <w:p w14:paraId="68B62D2B"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El Artículo 8°de la ley 2056 de 2020 asignó como función del Ministerio de Hacienda y Crédito Público elaborar los estados financieros del Sistema General de Regalías.</w:t>
      </w:r>
    </w:p>
    <w:p w14:paraId="2FEFAD61" w14:textId="77777777" w:rsidR="007C7EF4" w:rsidRPr="00CD459A" w:rsidRDefault="007C7EF4" w:rsidP="007C7EF4">
      <w:pPr>
        <w:pStyle w:val="Textoindependiente"/>
        <w:rPr>
          <w:rFonts w:ascii="Verdana" w:eastAsia="Tahoma" w:hAnsi="Verdana" w:cs="Arial"/>
          <w:sz w:val="22"/>
          <w:szCs w:val="22"/>
        </w:rPr>
      </w:pPr>
    </w:p>
    <w:p w14:paraId="18DB2527"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El Artículo 2.1.1.3.5 del decreto 1821 de 2020 definió el alcance de la contabilidad del Sistema General de regalías en los siguientes términos: Los estados financieros del Sistema general de regalías registrarán y revelarán la información relativa los derechos e ingresos por regalías, así como los gastos y obligaciones por las asignaciones a las entidades beneficiarias y por los gastos del sistema establecidos legalmente. Las entidades beneficiarias de las asignaciones serán responsables de la ejecución de los recursos girados por el Ministerio de Hacienda y CP, así como de los registros contables a los que haya lugar.</w:t>
      </w:r>
    </w:p>
    <w:p w14:paraId="2A2D0483" w14:textId="77777777" w:rsidR="007C7EF4" w:rsidRPr="00CD459A" w:rsidRDefault="007C7EF4" w:rsidP="007C7EF4">
      <w:pPr>
        <w:pStyle w:val="Textoindependiente"/>
        <w:rPr>
          <w:rFonts w:ascii="Verdana" w:eastAsia="Tahoma" w:hAnsi="Verdana" w:cs="Arial"/>
          <w:sz w:val="22"/>
          <w:szCs w:val="22"/>
        </w:rPr>
      </w:pPr>
    </w:p>
    <w:p w14:paraId="1C12EA09"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 xml:space="preserve">Las actividades contables que se desarrollan para dar cumplimiento a la función asignada al Ministerio de hacienda y CP se enmarcan en la siguiente reglamentación: </w:t>
      </w:r>
    </w:p>
    <w:p w14:paraId="1CA929F2" w14:textId="77777777" w:rsidR="007C7EF4" w:rsidRPr="00CD459A" w:rsidRDefault="007C7EF4" w:rsidP="00AB3D96">
      <w:pPr>
        <w:pStyle w:val="Textoindependiente"/>
        <w:widowControl/>
        <w:numPr>
          <w:ilvl w:val="0"/>
          <w:numId w:val="14"/>
        </w:numPr>
        <w:rPr>
          <w:rFonts w:ascii="Verdana" w:eastAsia="Tahoma" w:hAnsi="Verdana" w:cs="Arial"/>
          <w:sz w:val="22"/>
          <w:szCs w:val="22"/>
        </w:rPr>
      </w:pPr>
      <w:r w:rsidRPr="00CD459A">
        <w:rPr>
          <w:rFonts w:ascii="Verdana" w:eastAsia="Tahoma" w:hAnsi="Verdana" w:cs="Arial"/>
          <w:sz w:val="22"/>
          <w:szCs w:val="22"/>
        </w:rPr>
        <w:t>Resolución 533 de 2015 y sus modificaciones, por la cual incorpora, como parte integrante del Régimen de Contabilidad Pública, el Marco Normativo para Entidades de Gobierno, el cual está conformado por: el Marco Conceptual para la Preparación y Presentación de Información Financiera; las Normas para el Reconocimiento, Medición, Revelación y Presentación de los Hechos Económicos; los Procedimientos Contables; las Guías de Aplicación; el Catálogo General de Cuentas; y la Doctrina Contable Pública.</w:t>
      </w:r>
    </w:p>
    <w:p w14:paraId="20BAF81E" w14:textId="77777777" w:rsidR="007C7EF4" w:rsidRPr="00CD459A" w:rsidRDefault="007C7EF4" w:rsidP="00AB3D96">
      <w:pPr>
        <w:pStyle w:val="Textoindependiente"/>
        <w:widowControl/>
        <w:numPr>
          <w:ilvl w:val="0"/>
          <w:numId w:val="14"/>
        </w:numPr>
        <w:rPr>
          <w:rFonts w:ascii="Verdana" w:eastAsia="Tahoma" w:hAnsi="Verdana" w:cs="Arial"/>
          <w:sz w:val="22"/>
          <w:szCs w:val="22"/>
        </w:rPr>
      </w:pPr>
      <w:r w:rsidRPr="00CD459A">
        <w:rPr>
          <w:rFonts w:ascii="Verdana" w:eastAsia="Tahoma" w:hAnsi="Verdana" w:cs="Arial"/>
          <w:sz w:val="22"/>
          <w:szCs w:val="22"/>
        </w:rPr>
        <w:t xml:space="preserve">Resolución 620 de 2015 expedida por la CGN por el cual se incorpora como parte del RCP el catálogo general de cuentas </w:t>
      </w:r>
    </w:p>
    <w:p w14:paraId="3FCD4A26" w14:textId="77777777" w:rsidR="007C7EF4" w:rsidRPr="00CD459A" w:rsidRDefault="007C7EF4" w:rsidP="00AB3D96">
      <w:pPr>
        <w:pStyle w:val="Textoindependiente"/>
        <w:widowControl/>
        <w:numPr>
          <w:ilvl w:val="0"/>
          <w:numId w:val="14"/>
        </w:numPr>
        <w:rPr>
          <w:rFonts w:ascii="Verdana" w:eastAsia="Tahoma" w:hAnsi="Verdana" w:cs="Arial"/>
          <w:sz w:val="22"/>
          <w:szCs w:val="22"/>
        </w:rPr>
      </w:pPr>
      <w:r w:rsidRPr="00CD459A">
        <w:rPr>
          <w:rFonts w:ascii="Verdana" w:eastAsia="Tahoma" w:hAnsi="Verdana" w:cs="Arial"/>
          <w:sz w:val="22"/>
          <w:szCs w:val="22"/>
        </w:rPr>
        <w:t>Instructivo 002 de 2015, con el fin de orientar a los regulados para la determinación de los saldos iniciales y para la elaboración y presentación de los primeros estados financieros bajo el nuevo Marco Normativo.</w:t>
      </w:r>
    </w:p>
    <w:p w14:paraId="41A276EF" w14:textId="77777777" w:rsidR="007C7EF4" w:rsidRPr="00CD459A" w:rsidRDefault="007C7EF4" w:rsidP="00AB3D96">
      <w:pPr>
        <w:pStyle w:val="Textoindependiente"/>
        <w:widowControl/>
        <w:numPr>
          <w:ilvl w:val="0"/>
          <w:numId w:val="14"/>
        </w:numPr>
        <w:rPr>
          <w:rFonts w:ascii="Verdana" w:hAnsi="Verdana" w:cs="Arial"/>
          <w:sz w:val="22"/>
          <w:szCs w:val="22"/>
          <w:lang w:val="es-ES_tradnl"/>
        </w:rPr>
      </w:pPr>
      <w:r w:rsidRPr="00CD459A">
        <w:rPr>
          <w:rFonts w:ascii="Verdana" w:eastAsia="Tahoma" w:hAnsi="Verdana" w:cs="Arial"/>
          <w:sz w:val="22"/>
          <w:szCs w:val="22"/>
        </w:rPr>
        <w:t>Resolución 191 de 2020 expedida por la CGN, por la cual se define el procedimiento contable para el registro de los recursos del Sistema General de Regalías.</w:t>
      </w:r>
    </w:p>
    <w:p w14:paraId="10B99494" w14:textId="77777777" w:rsidR="007C7EF4" w:rsidRPr="00CD459A" w:rsidRDefault="007C7EF4" w:rsidP="007C7EF4">
      <w:pPr>
        <w:ind w:left="284" w:hanging="284"/>
        <w:jc w:val="both"/>
        <w:rPr>
          <w:rFonts w:ascii="Verdana" w:hAnsi="Verdana" w:cs="Arial"/>
          <w:lang w:val="es-ES_tradnl"/>
        </w:rPr>
      </w:pPr>
    </w:p>
    <w:p w14:paraId="3A85BEDE" w14:textId="274FA03F"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color w:val="auto"/>
          <w:kern w:val="28"/>
          <w:sz w:val="22"/>
          <w:szCs w:val="22"/>
          <w:lang w:val="es-ES_tradnl"/>
        </w:rPr>
      </w:pPr>
      <w:bookmarkStart w:id="209" w:name="_Toc397936246"/>
      <w:bookmarkStart w:id="210" w:name="_Toc459991345"/>
      <w:bookmarkStart w:id="211" w:name="_Toc490726944"/>
      <w:bookmarkStart w:id="212" w:name="_Toc490727892"/>
      <w:bookmarkStart w:id="213" w:name="_Toc515549286"/>
      <w:bookmarkStart w:id="214" w:name="_Toc515549680"/>
      <w:bookmarkStart w:id="215" w:name="_Toc520127142"/>
      <w:bookmarkStart w:id="216" w:name="_Toc529890211"/>
      <w:bookmarkStart w:id="217" w:name="_Toc62483929"/>
      <w:bookmarkStart w:id="218" w:name="_Toc94710216"/>
      <w:bookmarkStart w:id="219" w:name="_Toc390675293"/>
      <w:bookmarkEnd w:id="194"/>
      <w:bookmarkEnd w:id="195"/>
      <w:bookmarkEnd w:id="196"/>
      <w:bookmarkEnd w:id="197"/>
      <w:bookmarkEnd w:id="198"/>
      <w:bookmarkEnd w:id="199"/>
      <w:r w:rsidRPr="00CD459A">
        <w:rPr>
          <w:rFonts w:ascii="Verdana" w:hAnsi="Verdana" w:cs="Arial"/>
          <w:b/>
          <w:color w:val="auto"/>
          <w:kern w:val="28"/>
          <w:sz w:val="22"/>
          <w:szCs w:val="22"/>
          <w:lang w:val="es-ES_tradnl"/>
        </w:rPr>
        <w:t xml:space="preserve">5.2 </w:t>
      </w:r>
      <w:r w:rsidR="007C7EF4" w:rsidRPr="00CD459A">
        <w:rPr>
          <w:rFonts w:ascii="Verdana" w:hAnsi="Verdana" w:cs="Arial"/>
          <w:b/>
          <w:color w:val="auto"/>
          <w:kern w:val="28"/>
          <w:sz w:val="22"/>
          <w:szCs w:val="22"/>
          <w:lang w:val="es-ES_tradnl"/>
        </w:rPr>
        <w:t>GENERALIDADES</w:t>
      </w:r>
      <w:bookmarkEnd w:id="209"/>
      <w:bookmarkEnd w:id="210"/>
      <w:bookmarkEnd w:id="211"/>
      <w:bookmarkEnd w:id="212"/>
      <w:bookmarkEnd w:id="213"/>
      <w:bookmarkEnd w:id="214"/>
      <w:bookmarkEnd w:id="215"/>
      <w:bookmarkEnd w:id="216"/>
      <w:bookmarkEnd w:id="217"/>
      <w:bookmarkEnd w:id="218"/>
    </w:p>
    <w:p w14:paraId="37F820F7" w14:textId="77777777" w:rsidR="007C7EF4" w:rsidRPr="00CD459A" w:rsidRDefault="007C7EF4" w:rsidP="007C7EF4">
      <w:pPr>
        <w:ind w:left="720" w:hanging="720"/>
        <w:jc w:val="both"/>
        <w:rPr>
          <w:rFonts w:ascii="Verdana" w:hAnsi="Verdana" w:cs="Arial"/>
          <w:lang w:val="es-ES_tradnl"/>
        </w:rPr>
      </w:pPr>
    </w:p>
    <w:p w14:paraId="45158729" w14:textId="7198C4BD" w:rsidR="007C7EF4" w:rsidRPr="00CD459A" w:rsidRDefault="002F75DB"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220" w:name="_Toc490726945"/>
      <w:bookmarkStart w:id="221" w:name="_Toc490727893"/>
      <w:bookmarkStart w:id="222" w:name="_Toc515549287"/>
      <w:bookmarkStart w:id="223" w:name="_Toc515549681"/>
      <w:bookmarkStart w:id="224" w:name="_Toc520127143"/>
      <w:bookmarkStart w:id="225" w:name="_Toc529890212"/>
      <w:bookmarkStart w:id="226" w:name="_Toc62483930"/>
      <w:bookmarkStart w:id="227" w:name="_Toc94710217"/>
      <w:bookmarkStart w:id="228" w:name="_Toc397936247"/>
      <w:bookmarkStart w:id="229" w:name="_Toc459991346"/>
      <w:r w:rsidRPr="00CD459A">
        <w:rPr>
          <w:rFonts w:ascii="Verdana" w:hAnsi="Verdana" w:cs="Arial"/>
          <w:color w:val="auto"/>
          <w:sz w:val="22"/>
          <w:szCs w:val="22"/>
          <w:lang w:val="es-ES_tradnl"/>
        </w:rPr>
        <w:t xml:space="preserve">5.2.1 </w:t>
      </w:r>
      <w:r w:rsidR="007C7EF4" w:rsidRPr="00CD459A">
        <w:rPr>
          <w:rFonts w:ascii="Verdana" w:hAnsi="Verdana" w:cs="Arial"/>
          <w:color w:val="auto"/>
          <w:sz w:val="22"/>
          <w:szCs w:val="22"/>
          <w:lang w:val="es-ES_tradnl"/>
        </w:rPr>
        <w:t xml:space="preserve">Estructura organizacional y normatividad contable aplicable al </w:t>
      </w:r>
      <w:bookmarkEnd w:id="220"/>
      <w:bookmarkEnd w:id="221"/>
      <w:bookmarkEnd w:id="222"/>
      <w:bookmarkEnd w:id="223"/>
      <w:bookmarkEnd w:id="224"/>
      <w:bookmarkEnd w:id="225"/>
      <w:r w:rsidR="007C7EF4" w:rsidRPr="00CD459A">
        <w:rPr>
          <w:rFonts w:ascii="Verdana" w:hAnsi="Verdana" w:cs="Arial"/>
          <w:color w:val="auto"/>
          <w:sz w:val="22"/>
          <w:szCs w:val="22"/>
          <w:lang w:val="es-ES_tradnl"/>
        </w:rPr>
        <w:t>sistema general de Regalías</w:t>
      </w:r>
      <w:bookmarkEnd w:id="226"/>
      <w:bookmarkEnd w:id="227"/>
    </w:p>
    <w:p w14:paraId="65EF0B28" w14:textId="77777777" w:rsidR="007C7EF4" w:rsidRPr="00CD459A" w:rsidRDefault="007C7EF4" w:rsidP="007C7EF4">
      <w:pPr>
        <w:ind w:left="360"/>
        <w:jc w:val="both"/>
        <w:rPr>
          <w:rFonts w:ascii="Verdana" w:hAnsi="Verdana" w:cs="Arial"/>
          <w:lang w:val="es-ES_tradnl"/>
        </w:rPr>
      </w:pPr>
      <w:bookmarkStart w:id="230" w:name="_Toc490726946"/>
      <w:bookmarkStart w:id="231" w:name="_Toc490727894"/>
      <w:bookmarkStart w:id="232" w:name="_Toc515549288"/>
      <w:bookmarkStart w:id="233" w:name="_Toc515549682"/>
      <w:bookmarkStart w:id="234" w:name="_Toc520127144"/>
    </w:p>
    <w:p w14:paraId="1E8BE084" w14:textId="683746FD" w:rsidR="007C7EF4" w:rsidRPr="00CD459A" w:rsidRDefault="002F75DB" w:rsidP="007C7EF4">
      <w:pPr>
        <w:pStyle w:val="Ttulo4"/>
        <w:numPr>
          <w:ilvl w:val="3"/>
          <w:numId w:val="0"/>
        </w:numPr>
        <w:ind w:left="864" w:hanging="864"/>
        <w:jc w:val="both"/>
        <w:rPr>
          <w:rFonts w:ascii="Verdana" w:eastAsia="Tahoma" w:hAnsi="Verdana" w:cs="Arial"/>
          <w:b w:val="0"/>
          <w:sz w:val="22"/>
          <w:szCs w:val="22"/>
        </w:rPr>
      </w:pPr>
      <w:bookmarkStart w:id="235" w:name="_Toc397936248"/>
      <w:bookmarkStart w:id="236" w:name="_Toc459991347"/>
      <w:bookmarkEnd w:id="228"/>
      <w:bookmarkEnd w:id="229"/>
      <w:bookmarkEnd w:id="230"/>
      <w:bookmarkEnd w:id="231"/>
      <w:bookmarkEnd w:id="232"/>
      <w:bookmarkEnd w:id="233"/>
      <w:bookmarkEnd w:id="234"/>
      <w:r w:rsidRPr="00CD459A">
        <w:rPr>
          <w:rFonts w:ascii="Verdana" w:hAnsi="Verdana" w:cs="Arial"/>
          <w:b w:val="0"/>
          <w:sz w:val="22"/>
          <w:szCs w:val="22"/>
          <w:lang w:val="es-ES_tradnl"/>
        </w:rPr>
        <w:t xml:space="preserve">5.2.1.1 </w:t>
      </w:r>
      <w:r w:rsidR="007C7EF4" w:rsidRPr="00CD459A">
        <w:rPr>
          <w:rFonts w:ascii="Verdana" w:hAnsi="Verdana" w:cs="Arial"/>
          <w:b w:val="0"/>
          <w:sz w:val="22"/>
          <w:szCs w:val="22"/>
          <w:lang w:val="es-ES_tradnl"/>
        </w:rPr>
        <w:t>Naturaleza</w:t>
      </w:r>
      <w:r w:rsidR="007C7EF4" w:rsidRPr="00CD459A">
        <w:rPr>
          <w:rFonts w:ascii="Verdana" w:eastAsia="Tahoma" w:hAnsi="Verdana" w:cs="Arial"/>
          <w:b w:val="0"/>
          <w:sz w:val="22"/>
          <w:szCs w:val="22"/>
        </w:rPr>
        <w:t xml:space="preserve"> jurídica, función social, actividades que desarrolla y cometido estatal.</w:t>
      </w:r>
    </w:p>
    <w:p w14:paraId="7730D967" w14:textId="77777777" w:rsidR="007C7EF4" w:rsidRPr="00CD459A" w:rsidRDefault="007C7EF4" w:rsidP="007C7EF4">
      <w:pPr>
        <w:jc w:val="both"/>
        <w:rPr>
          <w:rFonts w:ascii="Verdana" w:eastAsia="Tahoma" w:hAnsi="Verdana" w:cs="Arial"/>
        </w:rPr>
      </w:pPr>
    </w:p>
    <w:p w14:paraId="28114020" w14:textId="77777777" w:rsidR="007C7EF4" w:rsidRPr="00CD459A" w:rsidRDefault="007C7EF4" w:rsidP="007C7EF4">
      <w:pPr>
        <w:pStyle w:val="cuerpotexto"/>
        <w:tabs>
          <w:tab w:val="left" w:pos="0"/>
        </w:tabs>
        <w:spacing w:line="24" w:lineRule="atLeast"/>
        <w:contextualSpacing/>
        <w:jc w:val="both"/>
        <w:rPr>
          <w:rFonts w:ascii="Verdana" w:hAnsi="Verdana" w:cs="Arial"/>
          <w:sz w:val="22"/>
          <w:szCs w:val="22"/>
          <w:shd w:val="clear" w:color="auto" w:fill="FFFFFF"/>
        </w:rPr>
      </w:pPr>
      <w:r w:rsidRPr="00CD459A">
        <w:rPr>
          <w:rFonts w:ascii="Verdana" w:hAnsi="Verdana" w:cs="Arial"/>
          <w:sz w:val="22"/>
          <w:szCs w:val="22"/>
          <w:shd w:val="clear" w:color="auto" w:fill="FFFFFF"/>
        </w:rPr>
        <w:t xml:space="preserve">El Sistema General de Regalías (En adelante SGR) se creó bajo los principios de ahorro para el futuro; equidad; competitividad regional y buen gobierno, a través del acto legislativo 05 de 2011 y del acto legislativo 05 de 2019, que modificaron los artículos 360 y 361 de la Constitución Política, que fue reglamentado por la ley 2056 de 2020. </w:t>
      </w:r>
      <w:r w:rsidRPr="00CD459A">
        <w:rPr>
          <w:rFonts w:ascii="Verdana" w:hAnsi="Verdana" w:cs="Arial"/>
          <w:sz w:val="22"/>
          <w:szCs w:val="22"/>
        </w:rPr>
        <w:t xml:space="preserve">Que el numeral 8°, artículo 2°, de la Ley 2056 de 2020, indica como uno de los objetivos y fines del Sistema General de Regalías "Incentivar o propiciar la inversión prioritariamente en la restauración social y económica de los territorios donde se desarrollen actividades de exploración y explotación de recursos naturales no renovables, así como en la protección y recuperación ambiental, sin perjuicio de la responsabilidad ambiental que le asiste a las empresas que adelanten dichas actividades, en virtud de la cual deben adelantar acciones de conservación y recuperación ambiental en los territorios en los que se lleven a cabo tales actividades". </w:t>
      </w:r>
      <w:r w:rsidRPr="00CD459A">
        <w:rPr>
          <w:rFonts w:ascii="Verdana" w:hAnsi="Verdana" w:cs="Arial"/>
          <w:sz w:val="22"/>
          <w:szCs w:val="22"/>
          <w:shd w:val="clear" w:color="auto" w:fill="FFFFFF"/>
        </w:rPr>
        <w:t>Para lograr sus objetivos, de acuerdo con el numeral 1.1.1.1.1. del decreto 1821 de diciembre 31 de 2020, los recursos del Sistema General de Regalías se destinarán a:</w:t>
      </w:r>
    </w:p>
    <w:p w14:paraId="38D5E145" w14:textId="77777777" w:rsidR="007C7EF4" w:rsidRPr="00CD459A" w:rsidRDefault="007C7EF4" w:rsidP="007C7EF4">
      <w:pPr>
        <w:pStyle w:val="cuerpotexto"/>
        <w:tabs>
          <w:tab w:val="left" w:pos="0"/>
        </w:tabs>
        <w:spacing w:line="24" w:lineRule="atLeast"/>
        <w:contextualSpacing/>
        <w:jc w:val="both"/>
        <w:rPr>
          <w:rFonts w:ascii="Verdana" w:hAnsi="Verdana" w:cs="Arial"/>
          <w:sz w:val="22"/>
          <w:szCs w:val="22"/>
          <w:shd w:val="clear" w:color="auto" w:fill="FFFFFF"/>
        </w:rPr>
      </w:pPr>
    </w:p>
    <w:p w14:paraId="002FDF26" w14:textId="77777777" w:rsidR="007C7EF4" w:rsidRPr="00CD459A" w:rsidRDefault="007C7EF4" w:rsidP="00AB3D96">
      <w:pPr>
        <w:pStyle w:val="cuerpotexto"/>
        <w:numPr>
          <w:ilvl w:val="0"/>
          <w:numId w:val="20"/>
        </w:numPr>
        <w:tabs>
          <w:tab w:val="left" w:pos="0"/>
        </w:tabs>
        <w:spacing w:line="24" w:lineRule="atLeast"/>
        <w:contextualSpacing/>
        <w:jc w:val="both"/>
        <w:rPr>
          <w:rFonts w:ascii="Verdana" w:hAnsi="Verdana" w:cs="Arial"/>
          <w:sz w:val="22"/>
          <w:szCs w:val="22"/>
          <w:shd w:val="clear" w:color="auto" w:fill="FFFFFF"/>
        </w:rPr>
      </w:pPr>
      <w:r w:rsidRPr="00CD459A">
        <w:rPr>
          <w:rFonts w:ascii="Verdana" w:hAnsi="Verdana" w:cs="Arial"/>
          <w:sz w:val="22"/>
          <w:szCs w:val="22"/>
        </w:rPr>
        <w:t xml:space="preserve">El financiamiento de proyectos de inversión en sus diferentes etapas, siempre y cuando esté definido en los mismos el horizonte de realización, previamente viabilizados y registrados en el Banco de Proyectos de Inversión del Sistema General de Regalías, aprobados por la respectiva entidad o instancia competente, con cargo a las Asignaciones Directas, Asignación para la Inversión Local, Asignación para la Inversión Regional, Asignación para la Ciencia, Tecnología e Innovación, Asignación Ambiental, la Asignación para la Paz, el incentivo a la producción, exploración y formalización y los excedentes provenientes del ahorro pensional territorial acreditados en el FONPET. </w:t>
      </w:r>
    </w:p>
    <w:p w14:paraId="4790686E" w14:textId="77777777" w:rsidR="007C7EF4" w:rsidRPr="00CD459A" w:rsidRDefault="007C7EF4" w:rsidP="00AB3D96">
      <w:pPr>
        <w:pStyle w:val="cuerpotexto"/>
        <w:numPr>
          <w:ilvl w:val="0"/>
          <w:numId w:val="20"/>
        </w:numPr>
        <w:tabs>
          <w:tab w:val="left" w:pos="0"/>
        </w:tabs>
        <w:spacing w:line="24" w:lineRule="atLeast"/>
        <w:contextualSpacing/>
        <w:jc w:val="both"/>
        <w:rPr>
          <w:rFonts w:ascii="Verdana" w:hAnsi="Verdana" w:cs="Arial"/>
          <w:sz w:val="22"/>
          <w:szCs w:val="22"/>
          <w:shd w:val="clear" w:color="auto" w:fill="FFFFFF"/>
        </w:rPr>
      </w:pPr>
      <w:r w:rsidRPr="00CD459A">
        <w:rPr>
          <w:rFonts w:ascii="Verdana" w:hAnsi="Verdana" w:cs="Arial"/>
          <w:sz w:val="22"/>
          <w:szCs w:val="22"/>
        </w:rPr>
        <w:t xml:space="preserve">El financiamiento de las funciones de los órganos encargados del funcionamiento, operatividad y administración del Sistema, a la evaluación y monitoreo del licenciamiento ambiental a los proyectos de exploración y explotación, a la fiscalización de la exploración y explotación de los yacimientos, conocimiento y cartografía geológica del subsuelo; e incentivo a la exploración y a la producción. </w:t>
      </w:r>
    </w:p>
    <w:p w14:paraId="0A032393" w14:textId="77777777" w:rsidR="007C7EF4" w:rsidRPr="00CD459A" w:rsidRDefault="007C7EF4" w:rsidP="00AB3D96">
      <w:pPr>
        <w:pStyle w:val="cuerpotexto"/>
        <w:numPr>
          <w:ilvl w:val="0"/>
          <w:numId w:val="20"/>
        </w:numPr>
        <w:tabs>
          <w:tab w:val="left" w:pos="0"/>
        </w:tabs>
        <w:spacing w:line="24" w:lineRule="atLeast"/>
        <w:contextualSpacing/>
        <w:jc w:val="both"/>
        <w:rPr>
          <w:rFonts w:ascii="Verdana" w:hAnsi="Verdana" w:cs="Arial"/>
          <w:sz w:val="22"/>
          <w:szCs w:val="22"/>
          <w:shd w:val="clear" w:color="auto" w:fill="FFFFFF"/>
        </w:rPr>
      </w:pPr>
      <w:r w:rsidRPr="00CD459A">
        <w:rPr>
          <w:rFonts w:ascii="Verdana" w:hAnsi="Verdana" w:cs="Arial"/>
          <w:sz w:val="22"/>
          <w:szCs w:val="22"/>
        </w:rPr>
        <w:t xml:space="preserve">El financiamiento de las funciones de seguimiento, evaluación y control. </w:t>
      </w:r>
    </w:p>
    <w:p w14:paraId="35787793" w14:textId="77777777" w:rsidR="007C7EF4" w:rsidRPr="00CD459A" w:rsidRDefault="007C7EF4" w:rsidP="00AB3D96">
      <w:pPr>
        <w:pStyle w:val="cuerpotexto"/>
        <w:numPr>
          <w:ilvl w:val="0"/>
          <w:numId w:val="20"/>
        </w:numPr>
        <w:tabs>
          <w:tab w:val="left" w:pos="0"/>
        </w:tabs>
        <w:spacing w:line="24" w:lineRule="atLeast"/>
        <w:contextualSpacing/>
        <w:jc w:val="both"/>
        <w:rPr>
          <w:rFonts w:ascii="Verdana" w:hAnsi="Verdana" w:cs="Arial"/>
          <w:sz w:val="22"/>
          <w:szCs w:val="22"/>
          <w:lang w:val="es-ES_tradnl"/>
        </w:rPr>
      </w:pPr>
      <w:r w:rsidRPr="00CD459A">
        <w:rPr>
          <w:rFonts w:ascii="Verdana" w:hAnsi="Verdana" w:cs="Arial"/>
          <w:sz w:val="22"/>
          <w:szCs w:val="22"/>
        </w:rPr>
        <w:t>El ahorro para el pasivo pensional y al ahorro para la estabilización de la inversión.</w:t>
      </w:r>
    </w:p>
    <w:p w14:paraId="69900C94" w14:textId="77777777" w:rsidR="007C7EF4" w:rsidRPr="00CD459A" w:rsidRDefault="007C7EF4" w:rsidP="007C7EF4">
      <w:pPr>
        <w:jc w:val="both"/>
        <w:rPr>
          <w:rFonts w:ascii="Verdana" w:hAnsi="Verdana" w:cs="Arial"/>
          <w:lang w:val="es-ES_tradnl"/>
        </w:rPr>
      </w:pPr>
    </w:p>
    <w:p w14:paraId="563F8339" w14:textId="67EDCE19" w:rsidR="007C7EF4" w:rsidRPr="00CD459A" w:rsidRDefault="002F75DB" w:rsidP="007C7EF4">
      <w:pPr>
        <w:pStyle w:val="Ttulo4"/>
        <w:numPr>
          <w:ilvl w:val="3"/>
          <w:numId w:val="0"/>
        </w:numPr>
        <w:ind w:left="864" w:hanging="864"/>
        <w:jc w:val="both"/>
        <w:rPr>
          <w:rFonts w:ascii="Verdana" w:hAnsi="Verdana" w:cs="Arial"/>
          <w:b w:val="0"/>
          <w:sz w:val="22"/>
          <w:szCs w:val="22"/>
          <w:lang w:val="es-ES_tradnl"/>
        </w:rPr>
      </w:pPr>
      <w:bookmarkStart w:id="237" w:name="_Toc490726947"/>
      <w:bookmarkStart w:id="238" w:name="_Toc490727895"/>
      <w:bookmarkStart w:id="239" w:name="_Toc515549289"/>
      <w:bookmarkStart w:id="240" w:name="_Toc515549683"/>
      <w:bookmarkStart w:id="241" w:name="_Toc520127145"/>
      <w:bookmarkStart w:id="242" w:name="_Toc529890214"/>
      <w:r w:rsidRPr="00CD459A">
        <w:rPr>
          <w:rFonts w:ascii="Verdana" w:hAnsi="Verdana" w:cs="Arial"/>
          <w:b w:val="0"/>
          <w:sz w:val="22"/>
          <w:szCs w:val="22"/>
          <w:lang w:val="es-ES_tradnl"/>
        </w:rPr>
        <w:t xml:space="preserve">5.2.1.2 </w:t>
      </w:r>
      <w:r w:rsidR="007C7EF4" w:rsidRPr="00CD459A">
        <w:rPr>
          <w:rFonts w:ascii="Verdana" w:hAnsi="Verdana" w:cs="Arial"/>
          <w:b w:val="0"/>
          <w:sz w:val="22"/>
          <w:szCs w:val="22"/>
          <w:lang w:val="es-ES_tradnl"/>
        </w:rPr>
        <w:t>Aplicación del Régimen de Contabilidad Pública y demás normas expedidas por la Contaduría General de la Nación</w:t>
      </w:r>
      <w:bookmarkEnd w:id="235"/>
      <w:bookmarkEnd w:id="236"/>
      <w:bookmarkEnd w:id="237"/>
      <w:bookmarkEnd w:id="238"/>
      <w:bookmarkEnd w:id="239"/>
      <w:bookmarkEnd w:id="240"/>
      <w:bookmarkEnd w:id="241"/>
      <w:bookmarkEnd w:id="242"/>
    </w:p>
    <w:p w14:paraId="5D9A0C67" w14:textId="77777777" w:rsidR="007C7EF4" w:rsidRPr="00CD459A" w:rsidRDefault="007C7EF4" w:rsidP="007C7EF4">
      <w:pPr>
        <w:ind w:left="720"/>
        <w:jc w:val="both"/>
        <w:rPr>
          <w:rFonts w:ascii="Verdana" w:hAnsi="Verdana" w:cs="Arial"/>
          <w:lang w:val="es-ES_tradnl"/>
        </w:rPr>
      </w:pPr>
    </w:p>
    <w:p w14:paraId="57C87B32" w14:textId="479C16FA" w:rsidR="007C7EF4" w:rsidRPr="00CD459A" w:rsidRDefault="007C7EF4" w:rsidP="007C7EF4">
      <w:pPr>
        <w:jc w:val="both"/>
        <w:rPr>
          <w:rFonts w:ascii="Verdana" w:hAnsi="Verdana" w:cs="Arial"/>
          <w:lang w:val="es-ES_tradnl"/>
        </w:rPr>
      </w:pPr>
      <w:r w:rsidRPr="00CD459A">
        <w:rPr>
          <w:rFonts w:ascii="Verdana" w:hAnsi="Verdana" w:cs="Arial"/>
          <w:lang w:val="es-ES_tradnl"/>
        </w:rPr>
        <w:t>Para el proceso de reconocimiento, medición, revelación y presentación de sus operaciones, el Sistema General de Regalías aplica lo establecido en el Régimen de Contabilidad Pública (especialmente en el Marco Normativo para Entidades de Gobierno), así como las demás normas que expida la Contaduría General de la Nación.</w:t>
      </w:r>
    </w:p>
    <w:p w14:paraId="2A2309C3" w14:textId="290889D2"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Dicho Marco Normativo está integrado por los siguientes elementos: </w:t>
      </w:r>
    </w:p>
    <w:p w14:paraId="1D3A4759"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Marco Conceptual para la Preparación y Presentación de la Información Financiera</w:t>
      </w:r>
    </w:p>
    <w:p w14:paraId="5FCFDC13"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Normas para el Reconocimiento, Medición, Revelación y Presentación de los Hechos Económicos</w:t>
      </w:r>
    </w:p>
    <w:p w14:paraId="443AAE54"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Catálogo General de Cuentas</w:t>
      </w:r>
    </w:p>
    <w:p w14:paraId="1A3E95CC"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Doctrina Contable Pública</w:t>
      </w:r>
    </w:p>
    <w:p w14:paraId="6E057F4F"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Procedimientos contables</w:t>
      </w:r>
    </w:p>
    <w:p w14:paraId="63F1EF7C" w14:textId="77777777" w:rsidR="007C7EF4" w:rsidRPr="00CD459A" w:rsidRDefault="007C7EF4" w:rsidP="00AB3D96">
      <w:pPr>
        <w:numPr>
          <w:ilvl w:val="0"/>
          <w:numId w:val="10"/>
        </w:numPr>
        <w:spacing w:after="0" w:line="240" w:lineRule="auto"/>
        <w:ind w:left="567" w:hanging="567"/>
        <w:jc w:val="both"/>
        <w:rPr>
          <w:rFonts w:ascii="Verdana" w:hAnsi="Verdana" w:cs="Arial"/>
          <w:lang w:val="es-ES_tradnl"/>
        </w:rPr>
      </w:pPr>
      <w:r w:rsidRPr="00CD459A">
        <w:rPr>
          <w:rFonts w:ascii="Verdana" w:hAnsi="Verdana" w:cs="Arial"/>
          <w:lang w:val="es-ES_tradnl"/>
        </w:rPr>
        <w:t>Guías de aplicación</w:t>
      </w:r>
    </w:p>
    <w:p w14:paraId="537D5691" w14:textId="77777777" w:rsidR="007C7EF4" w:rsidRPr="00CD459A" w:rsidRDefault="007C7EF4" w:rsidP="007C7EF4">
      <w:pPr>
        <w:jc w:val="both"/>
        <w:rPr>
          <w:rFonts w:ascii="Verdana" w:hAnsi="Verdana" w:cs="Arial"/>
          <w:lang w:val="es-ES_tradnl"/>
        </w:rPr>
      </w:pPr>
    </w:p>
    <w:p w14:paraId="0A6ECF72"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El registro de las transacciones y operaciones se realiza a nivel de documento fuente, debidamente legalizados y registrados en los libros de contabilidad auxiliares y principales, siguiendo ordenadamente el proceso contable, desde la planeación y ejecución de los ingresos y gastos hasta la revelación y presentación de los estados financieros, y utilizando el Sistema de Presupuesto y Giro de Regalías – SPGR. </w:t>
      </w:r>
    </w:p>
    <w:p w14:paraId="581908ED" w14:textId="77777777" w:rsidR="007C7EF4" w:rsidRPr="00CD459A" w:rsidRDefault="007C7EF4" w:rsidP="007C7EF4">
      <w:pPr>
        <w:pStyle w:val="Ttulo4"/>
        <w:ind w:left="864"/>
        <w:jc w:val="both"/>
        <w:rPr>
          <w:rFonts w:ascii="Verdana" w:hAnsi="Verdana" w:cs="Arial"/>
          <w:b w:val="0"/>
          <w:sz w:val="22"/>
          <w:szCs w:val="22"/>
          <w:lang w:val="es-ES_tradnl"/>
        </w:rPr>
      </w:pPr>
    </w:p>
    <w:p w14:paraId="537854FF" w14:textId="03785C96" w:rsidR="007C7EF4" w:rsidRPr="00CD459A" w:rsidRDefault="002F75DB" w:rsidP="007C7EF4">
      <w:pPr>
        <w:pStyle w:val="Ttulo4"/>
        <w:numPr>
          <w:ilvl w:val="3"/>
          <w:numId w:val="0"/>
        </w:numPr>
        <w:ind w:left="864" w:hanging="864"/>
        <w:jc w:val="both"/>
        <w:rPr>
          <w:rFonts w:ascii="Verdana" w:hAnsi="Verdana" w:cs="Arial"/>
          <w:b w:val="0"/>
          <w:sz w:val="22"/>
          <w:szCs w:val="22"/>
          <w:lang w:val="es-ES_tradnl"/>
        </w:rPr>
      </w:pPr>
      <w:bookmarkStart w:id="243" w:name="_Toc397936249"/>
      <w:bookmarkStart w:id="244" w:name="_Toc459991348"/>
      <w:bookmarkStart w:id="245" w:name="_Toc490726948"/>
      <w:bookmarkStart w:id="246" w:name="_Toc490727896"/>
      <w:bookmarkStart w:id="247" w:name="_Toc515549290"/>
      <w:bookmarkStart w:id="248" w:name="_Toc515549684"/>
      <w:bookmarkStart w:id="249" w:name="_Toc520127146"/>
      <w:bookmarkStart w:id="250" w:name="_Toc529890215"/>
      <w:r w:rsidRPr="00CD459A">
        <w:rPr>
          <w:rFonts w:ascii="Verdana" w:hAnsi="Verdana" w:cs="Arial"/>
          <w:b w:val="0"/>
          <w:sz w:val="22"/>
          <w:szCs w:val="22"/>
          <w:lang w:val="es-ES_tradnl"/>
        </w:rPr>
        <w:t xml:space="preserve">5.2.1.3 </w:t>
      </w:r>
      <w:r w:rsidR="007C7EF4" w:rsidRPr="00CD459A">
        <w:rPr>
          <w:rFonts w:ascii="Verdana" w:hAnsi="Verdana" w:cs="Arial"/>
          <w:b w:val="0"/>
          <w:sz w:val="22"/>
          <w:szCs w:val="22"/>
          <w:lang w:val="es-ES_tradnl"/>
        </w:rPr>
        <w:t>Información referida al proceso de agregación y/o consolidación de información contable pública</w:t>
      </w:r>
      <w:bookmarkEnd w:id="243"/>
      <w:bookmarkEnd w:id="244"/>
      <w:bookmarkEnd w:id="245"/>
      <w:bookmarkEnd w:id="246"/>
      <w:bookmarkEnd w:id="247"/>
      <w:bookmarkEnd w:id="248"/>
      <w:bookmarkEnd w:id="249"/>
      <w:bookmarkEnd w:id="250"/>
    </w:p>
    <w:p w14:paraId="4A619FDD" w14:textId="77777777" w:rsidR="007C7EF4" w:rsidRPr="00CD459A" w:rsidRDefault="007C7EF4" w:rsidP="007C7EF4">
      <w:pPr>
        <w:ind w:left="720"/>
        <w:jc w:val="both"/>
        <w:rPr>
          <w:rFonts w:ascii="Verdana" w:hAnsi="Verdana" w:cs="Arial"/>
          <w:lang w:val="es-ES_tradnl"/>
        </w:rPr>
      </w:pPr>
    </w:p>
    <w:p w14:paraId="1E3ECA56" w14:textId="77777777" w:rsidR="007C7EF4" w:rsidRPr="00CD459A" w:rsidRDefault="007C7EF4" w:rsidP="007C7EF4">
      <w:pPr>
        <w:jc w:val="both"/>
        <w:rPr>
          <w:rFonts w:ascii="Verdana" w:hAnsi="Verdana" w:cs="Arial"/>
          <w:lang w:val="es-ES_tradnl"/>
        </w:rPr>
      </w:pPr>
      <w:r w:rsidRPr="00CD459A">
        <w:rPr>
          <w:rFonts w:ascii="Verdana" w:hAnsi="Verdana" w:cs="Arial"/>
        </w:rPr>
        <w:t>El Sistema General de Regalías es una entidad contable pública con un único código de consolidación.  A partir del año 2018 con la entrada en vigencia de la resolución 470 de 2016, los registros contables se generan en el SPGR se acumulan de manera diferenciada para cada entidad que interviene en el ciclo de negocio, quienes tienen acceso al sistema a través de la asignación usuarios y perfiles de acuerdo al rol que desarrollen, esta información debe ser agregada a la formación contable de cada entidad que genera las operaciones y presentan la información agregada a la Contaduría General de la Nación. La información contable que se presenta con el código de consolidación del Sistema General de Regalías es información individual y corresponde a las operaciones que se generen según el alcance definido en el Artículo 2.1.1.3.5 del decreto 1821 de 2020.</w:t>
      </w:r>
    </w:p>
    <w:p w14:paraId="69E5120B" w14:textId="77777777" w:rsidR="007C7EF4" w:rsidRPr="00CD459A" w:rsidRDefault="007C7EF4" w:rsidP="007C7EF4">
      <w:pPr>
        <w:jc w:val="both"/>
        <w:rPr>
          <w:rFonts w:ascii="Verdana" w:hAnsi="Verdana" w:cs="Arial"/>
          <w:lang w:val="es-ES_tradnl"/>
        </w:rPr>
      </w:pPr>
    </w:p>
    <w:p w14:paraId="13F210CE" w14:textId="58B79C84"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251" w:name="_Toc459373658"/>
      <w:bookmarkStart w:id="252" w:name="_Toc459373659"/>
      <w:bookmarkStart w:id="253" w:name="_Toc459373660"/>
      <w:bookmarkStart w:id="254" w:name="_Toc459373661"/>
      <w:bookmarkStart w:id="255" w:name="_Toc459373662"/>
      <w:bookmarkStart w:id="256" w:name="_Toc459373663"/>
      <w:bookmarkStart w:id="257" w:name="_Toc459373664"/>
      <w:bookmarkStart w:id="258" w:name="_Toc397936258"/>
      <w:bookmarkStart w:id="259" w:name="_Toc459991357"/>
      <w:bookmarkStart w:id="260" w:name="_Toc490726957"/>
      <w:bookmarkStart w:id="261" w:name="_Toc490727905"/>
      <w:bookmarkStart w:id="262" w:name="_Toc515549291"/>
      <w:bookmarkStart w:id="263" w:name="_Toc515549685"/>
      <w:bookmarkStart w:id="264" w:name="_Toc520127147"/>
      <w:bookmarkStart w:id="265" w:name="_Toc529890216"/>
      <w:bookmarkStart w:id="266" w:name="_Toc62483931"/>
      <w:bookmarkStart w:id="267" w:name="_Toc94710218"/>
      <w:bookmarkEnd w:id="251"/>
      <w:bookmarkEnd w:id="252"/>
      <w:bookmarkEnd w:id="253"/>
      <w:bookmarkEnd w:id="254"/>
      <w:bookmarkEnd w:id="255"/>
      <w:bookmarkEnd w:id="256"/>
      <w:bookmarkEnd w:id="257"/>
      <w:r w:rsidRPr="00CD459A">
        <w:rPr>
          <w:rFonts w:ascii="Verdana" w:hAnsi="Verdana" w:cs="Arial"/>
          <w:b/>
          <w:bCs/>
          <w:color w:val="auto"/>
          <w:sz w:val="22"/>
          <w:szCs w:val="22"/>
          <w:lang w:val="es-ES_tradnl"/>
        </w:rPr>
        <w:t xml:space="preserve">5.3 </w:t>
      </w:r>
      <w:r w:rsidR="007C7EF4" w:rsidRPr="00CD459A">
        <w:rPr>
          <w:rFonts w:ascii="Verdana" w:hAnsi="Verdana" w:cs="Arial"/>
          <w:b/>
          <w:bCs/>
          <w:color w:val="auto"/>
          <w:sz w:val="22"/>
          <w:szCs w:val="22"/>
          <w:lang w:val="es-ES_tradnl"/>
        </w:rPr>
        <w:t>CONTROLES</w:t>
      </w:r>
      <w:bookmarkEnd w:id="258"/>
      <w:bookmarkEnd w:id="259"/>
      <w:bookmarkEnd w:id="260"/>
      <w:bookmarkEnd w:id="261"/>
      <w:bookmarkEnd w:id="262"/>
      <w:bookmarkEnd w:id="263"/>
      <w:bookmarkEnd w:id="264"/>
      <w:bookmarkEnd w:id="265"/>
      <w:bookmarkEnd w:id="266"/>
      <w:bookmarkEnd w:id="267"/>
    </w:p>
    <w:p w14:paraId="487B7C63" w14:textId="77777777" w:rsidR="007C7EF4" w:rsidRPr="00CD459A" w:rsidRDefault="007C7EF4" w:rsidP="007C7EF4">
      <w:pPr>
        <w:jc w:val="both"/>
        <w:rPr>
          <w:rFonts w:ascii="Verdana" w:hAnsi="Verdana" w:cs="Arial"/>
          <w:lang w:val="es-ES_tradnl"/>
        </w:rPr>
      </w:pPr>
    </w:p>
    <w:p w14:paraId="27B1BFA4" w14:textId="16FC5B82" w:rsidR="007C7EF4" w:rsidRPr="00CD459A" w:rsidRDefault="007C7EF4" w:rsidP="007C7EF4">
      <w:pPr>
        <w:jc w:val="both"/>
        <w:rPr>
          <w:rFonts w:ascii="Verdana" w:eastAsia="Tahoma" w:hAnsi="Verdana" w:cs="Arial"/>
        </w:rPr>
      </w:pPr>
      <w:r w:rsidRPr="00CD459A">
        <w:rPr>
          <w:rFonts w:ascii="Verdana" w:eastAsia="Tahoma" w:hAnsi="Verdana" w:cs="Arial"/>
        </w:rPr>
        <w:t>Para garantizar que la información económica, financiera, social y ambiental del Sistema General de Regalías cumpla con las normas conceptuales, técnicas y los procedimientos establecidos en el Régimen de Contabilidad Pública (RCP), mensualmente se definen las tareas que se deben realizar indicando quien debe proveer el insumo para el registro, que insumo debe proveer y la periodicidad de la actividad; también se realizan procesos de conciliación de los saldos y movimientos de cada una de las cuentas contables que se afectan con la información suministrada por las diferentes fuentes de información en cada una de las instancias de negocio del Sistema General de Regalías. Para cada mes se define una fecha de cierre que debe corresponder a un día anterior a la fecha máxima para realizar registros contables en el SPGR definido por la Contaduría General de la Nación.</w:t>
      </w:r>
    </w:p>
    <w:p w14:paraId="2385D7D0" w14:textId="6A4F3EC0" w:rsidR="007C7EF4" w:rsidRPr="00CD459A" w:rsidRDefault="007C7EF4" w:rsidP="002F75DB">
      <w:pPr>
        <w:jc w:val="both"/>
        <w:rPr>
          <w:rFonts w:ascii="Verdana" w:eastAsia="Tahoma" w:hAnsi="Verdana" w:cs="Arial"/>
        </w:rPr>
      </w:pPr>
      <w:r w:rsidRPr="00CD459A">
        <w:rPr>
          <w:rFonts w:ascii="Verdana" w:eastAsia="Tahoma" w:hAnsi="Verdana" w:cs="Arial"/>
        </w:rPr>
        <w:t>Las evidencias y resultado de las Conciliaciones se cargan cada cuatro meses como monitoreo de riesgo en el “Sistema de Monitoreo de la Gestión Integral”</w:t>
      </w:r>
      <w:r w:rsidRPr="00CD459A">
        <w:rPr>
          <w:rFonts w:ascii="Verdana" w:hAnsi="Verdana" w:cs="Arial"/>
        </w:rPr>
        <w:t xml:space="preserve"> </w:t>
      </w:r>
      <w:r w:rsidRPr="00CD459A">
        <w:rPr>
          <w:rFonts w:ascii="Verdana" w:eastAsia="Tahoma" w:hAnsi="Verdana" w:cs="Arial"/>
        </w:rPr>
        <w:t>para garantizar la consistencia de los saldos contables, frente a las diferentes fuentes de información. Con dicha actividad, el riesgo financiero “Error en el registro de las operaciones contables manuales en el SPGR” se califica con una frecuencia improbable en su materialización.</w:t>
      </w:r>
    </w:p>
    <w:p w14:paraId="60B4FF35" w14:textId="07561055" w:rsidR="007C7EF4" w:rsidRPr="00CD459A" w:rsidRDefault="002F75DB"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268" w:name="_Toc397936259"/>
      <w:bookmarkStart w:id="269" w:name="_Toc459991358"/>
      <w:bookmarkStart w:id="270" w:name="_Toc490726958"/>
      <w:bookmarkStart w:id="271" w:name="_Toc490727906"/>
      <w:bookmarkStart w:id="272" w:name="_Toc515549292"/>
      <w:bookmarkStart w:id="273" w:name="_Toc515549686"/>
      <w:bookmarkStart w:id="274" w:name="_Toc520127148"/>
      <w:bookmarkStart w:id="275" w:name="_Toc529890217"/>
      <w:bookmarkStart w:id="276" w:name="_Toc62483932"/>
      <w:bookmarkStart w:id="277" w:name="_Toc94710219"/>
      <w:r w:rsidRPr="00CD459A">
        <w:rPr>
          <w:rFonts w:ascii="Verdana" w:hAnsi="Verdana" w:cs="Arial"/>
          <w:b/>
          <w:bCs/>
          <w:color w:val="auto"/>
          <w:sz w:val="22"/>
          <w:szCs w:val="22"/>
          <w:lang w:val="es-ES_tradnl"/>
        </w:rPr>
        <w:t xml:space="preserve">5.4  </w:t>
      </w:r>
      <w:r w:rsidR="007C7EF4" w:rsidRPr="00CD459A">
        <w:rPr>
          <w:rFonts w:ascii="Verdana" w:hAnsi="Verdana" w:cs="Arial"/>
          <w:b/>
          <w:bCs/>
          <w:color w:val="auto"/>
          <w:sz w:val="22"/>
          <w:szCs w:val="22"/>
          <w:lang w:val="es-ES_tradnl"/>
        </w:rPr>
        <w:t>ESTRUCTURA DEL ÁREA CONTABLE Y GESTIÓN POR PROCESOS</w:t>
      </w:r>
      <w:bookmarkEnd w:id="268"/>
      <w:bookmarkEnd w:id="269"/>
      <w:bookmarkEnd w:id="270"/>
      <w:bookmarkEnd w:id="271"/>
      <w:bookmarkEnd w:id="272"/>
      <w:bookmarkEnd w:id="273"/>
      <w:bookmarkEnd w:id="274"/>
      <w:bookmarkEnd w:id="275"/>
      <w:bookmarkEnd w:id="276"/>
      <w:bookmarkEnd w:id="277"/>
    </w:p>
    <w:p w14:paraId="1AAF7A62" w14:textId="77777777" w:rsidR="007C7EF4" w:rsidRPr="00CD459A" w:rsidRDefault="007C7EF4" w:rsidP="007C7EF4">
      <w:pPr>
        <w:jc w:val="both"/>
        <w:rPr>
          <w:rFonts w:ascii="Verdana" w:hAnsi="Verdana" w:cs="Arial"/>
          <w:lang w:val="es-ES_tradnl"/>
        </w:rPr>
      </w:pPr>
    </w:p>
    <w:p w14:paraId="0EDD8BCA" w14:textId="023E573B" w:rsidR="007C7EF4" w:rsidRPr="00CD459A" w:rsidRDefault="007C7EF4" w:rsidP="007C7EF4">
      <w:pPr>
        <w:jc w:val="both"/>
        <w:rPr>
          <w:rFonts w:ascii="Verdana" w:hAnsi="Verdana" w:cs="Arial"/>
          <w:lang w:val="es-ES_tradnl"/>
        </w:rPr>
      </w:pPr>
      <w:r w:rsidRPr="00CD459A">
        <w:rPr>
          <w:rFonts w:ascii="Verdana" w:hAnsi="Verdana" w:cs="Arial"/>
          <w:lang w:val="es-ES_tradnl"/>
        </w:rPr>
        <w:t>Para la adecuada identificación, clasificación, registro, revelación, análisis, interpretación y comunicación de la información contable del Sistema General de Regalías, hay dos funcionarios nombrados en cargos de libre nombramiento y remoción en la planta temporal de Regalías del Ministerio de Hacienda y Crédito Público y se encuentran ubicados físicamente en la Subdirección de Operaciones de la Dirección General de Crédito Público y Tesoro Nacional.</w:t>
      </w:r>
    </w:p>
    <w:p w14:paraId="4CE2D0CE" w14:textId="2CA52131" w:rsidR="007C7EF4" w:rsidRPr="00CD459A" w:rsidRDefault="007C7EF4" w:rsidP="007C7EF4">
      <w:pPr>
        <w:jc w:val="both"/>
        <w:rPr>
          <w:rFonts w:ascii="Verdana" w:hAnsi="Verdana" w:cs="Arial"/>
          <w:lang w:val="es-ES_tradnl"/>
        </w:rPr>
      </w:pPr>
      <w:r w:rsidRPr="00CD459A">
        <w:rPr>
          <w:rFonts w:ascii="Verdana" w:hAnsi="Verdana" w:cs="Arial"/>
          <w:lang w:val="es-ES_tradnl"/>
        </w:rPr>
        <w:t>Con relación al modelo de operación, el Sistema General de Regalías cuenta con un modelo que se basa en la gestión por procesos</w:t>
      </w:r>
      <w:r w:rsidRPr="00CD459A">
        <w:rPr>
          <w:rStyle w:val="Refdenotaalpie"/>
          <w:rFonts w:ascii="Verdana" w:hAnsi="Verdana" w:cs="Arial"/>
          <w:lang w:val="es-ES_tradnl"/>
        </w:rPr>
        <w:footnoteReference w:id="1"/>
      </w:r>
      <w:r w:rsidRPr="00CD459A">
        <w:rPr>
          <w:rFonts w:ascii="Verdana" w:hAnsi="Verdana" w:cs="Arial"/>
          <w:lang w:val="es-ES_tradnl"/>
        </w:rPr>
        <w:t xml:space="preserve"> que integra a más de una dependencia. En tal sentido, dichas dependencias se relacionan con el proceso contable como proceso cliente, asumiendo el compromiso de suministrar la información contable que se requiera, en los tiempos y con las condiciones necesarias, que permitan que estos insumos sean canalizados y procesados adecuada y oportunamente. La información que se produce en las diferentes dependencias será la base para reconocer contablemente los hechos y operaciones realizados por el SGR. </w:t>
      </w:r>
    </w:p>
    <w:p w14:paraId="34715DE1"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El procedimiento de Generación de registros contables, balances e informes del SGR, están contemplados en el documento denominado Caracterización del proceso Mis 3.5. Pro.7.</w:t>
      </w:r>
    </w:p>
    <w:p w14:paraId="7C2B61EB" w14:textId="77777777" w:rsidR="007C7EF4" w:rsidRPr="00CD459A" w:rsidRDefault="007C7EF4" w:rsidP="007C7EF4">
      <w:pPr>
        <w:jc w:val="both"/>
        <w:rPr>
          <w:rFonts w:ascii="Verdana" w:hAnsi="Verdana" w:cs="Arial"/>
          <w:lang w:val="es-ES_tradnl"/>
        </w:rPr>
      </w:pPr>
    </w:p>
    <w:p w14:paraId="275864C4" w14:textId="7631C690" w:rsidR="007C7EF4" w:rsidRPr="00CD459A" w:rsidRDefault="007C7EF4" w:rsidP="00AB3D96">
      <w:pPr>
        <w:pStyle w:val="Ttulo2"/>
        <w:keepLines w:val="0"/>
        <w:widowControl w:val="0"/>
        <w:numPr>
          <w:ilvl w:val="1"/>
          <w:numId w:val="97"/>
        </w:numPr>
        <w:spacing w:before="0" w:line="240" w:lineRule="auto"/>
        <w:jc w:val="both"/>
        <w:rPr>
          <w:rFonts w:ascii="Verdana" w:hAnsi="Verdana" w:cs="Arial"/>
          <w:b/>
          <w:bCs/>
          <w:color w:val="auto"/>
          <w:sz w:val="22"/>
          <w:szCs w:val="22"/>
          <w:lang w:val="es-ES_tradnl"/>
        </w:rPr>
      </w:pPr>
      <w:bookmarkStart w:id="278" w:name="_Toc62483933"/>
      <w:bookmarkStart w:id="279" w:name="_Toc94710220"/>
      <w:r w:rsidRPr="00CD459A">
        <w:rPr>
          <w:rFonts w:ascii="Verdana" w:hAnsi="Verdana" w:cs="Arial"/>
          <w:b/>
          <w:bCs/>
          <w:color w:val="auto"/>
          <w:sz w:val="22"/>
          <w:szCs w:val="22"/>
          <w:lang w:val="es-ES_tradnl"/>
        </w:rPr>
        <w:t>SISTEMA DE PRESUPUESTO Y GIRO DE REGALÍAS - SPGR</w:t>
      </w:r>
      <w:bookmarkEnd w:id="278"/>
      <w:bookmarkEnd w:id="279"/>
    </w:p>
    <w:p w14:paraId="051E785E" w14:textId="77777777" w:rsidR="007C7EF4" w:rsidRPr="00CD459A" w:rsidRDefault="007C7EF4" w:rsidP="007C7EF4">
      <w:pPr>
        <w:pStyle w:val="Textoindependiente"/>
        <w:rPr>
          <w:rFonts w:ascii="Verdana" w:eastAsia="Tahoma" w:hAnsi="Verdana" w:cs="Arial"/>
          <w:sz w:val="22"/>
          <w:szCs w:val="22"/>
        </w:rPr>
      </w:pPr>
    </w:p>
    <w:p w14:paraId="7CFC545C"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En desarrollo de lo establecido en el artículo 27 de la Ley 2056 de 2020, el artículo 2.1.1.3.15 del Decreto 1821 de 2020 establece que el Sistema de Presupuesto y Giro de Regalías –SPGR- será la herramienta de información a través de la cual el Ministerio de Hacienda y Crédito Público adelantará la gestión que le compete en el Sistema General de Regalías; por lo que es la herramienta oficial para el registro de las operaciones contables del Sistema General de Regalías.</w:t>
      </w:r>
    </w:p>
    <w:p w14:paraId="773D3FAF" w14:textId="77777777" w:rsidR="007C7EF4" w:rsidRPr="00CD459A" w:rsidRDefault="007C7EF4" w:rsidP="007C7EF4">
      <w:pPr>
        <w:pStyle w:val="Textoindependiente"/>
        <w:rPr>
          <w:rFonts w:ascii="Verdana" w:eastAsia="Tahoma" w:hAnsi="Verdana" w:cs="Arial"/>
          <w:sz w:val="22"/>
          <w:szCs w:val="22"/>
        </w:rPr>
      </w:pPr>
    </w:p>
    <w:p w14:paraId="227F8FC9" w14:textId="0BBD50D8" w:rsidR="007C7EF4" w:rsidRPr="00CD459A" w:rsidRDefault="007C7EF4" w:rsidP="007C7EF4">
      <w:pPr>
        <w:jc w:val="both"/>
        <w:rPr>
          <w:rFonts w:ascii="Verdana" w:eastAsia="Tahoma" w:hAnsi="Verdana" w:cs="Arial"/>
        </w:rPr>
      </w:pPr>
      <w:r w:rsidRPr="00CD459A">
        <w:rPr>
          <w:rFonts w:ascii="Verdana" w:eastAsia="Tahoma" w:hAnsi="Verdana" w:cs="Arial"/>
        </w:rPr>
        <w:t>Dada su competencia como órgano rector de la contabilidad Pública, la Contaduría General de la Nación es quien define en el SPGR que transacciones deben tener efecto contable y realiza las parametrizaciones para que los efectos contables se reflejen en forma automática en las transacciones que lo requieren, para lo cual hay funcionarios que tienen usuarios y perfiles exclusivos para desarrollar estas funciones.</w:t>
      </w:r>
    </w:p>
    <w:p w14:paraId="12BBC3C6" w14:textId="77777777" w:rsidR="007C7EF4" w:rsidRPr="00CD459A" w:rsidRDefault="007C7EF4" w:rsidP="007C7EF4">
      <w:pPr>
        <w:jc w:val="both"/>
        <w:rPr>
          <w:rFonts w:ascii="Verdana" w:eastAsia="Tahoma" w:hAnsi="Verdana" w:cs="Arial"/>
        </w:rPr>
      </w:pPr>
      <w:r w:rsidRPr="00CD459A">
        <w:rPr>
          <w:rFonts w:ascii="Verdana" w:eastAsia="Tahoma" w:hAnsi="Verdana" w:cs="Arial"/>
        </w:rPr>
        <w:t>El SPGR es un Sistema de Información de base contable, lo que garantiza que para que una operación que está definida con impacto contable solo puede ser exitosa si se genera el registro contable respectivo.</w:t>
      </w:r>
    </w:p>
    <w:p w14:paraId="55F51A6A" w14:textId="77777777" w:rsidR="007C7EF4" w:rsidRPr="00CD459A" w:rsidRDefault="007C7EF4" w:rsidP="007C7EF4">
      <w:pPr>
        <w:jc w:val="both"/>
        <w:rPr>
          <w:rFonts w:ascii="Verdana" w:hAnsi="Verdana" w:cs="Arial"/>
          <w:lang w:val="es-ES_tradnl"/>
        </w:rPr>
      </w:pPr>
    </w:p>
    <w:p w14:paraId="37034AE5" w14:textId="2FD0987C"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280" w:name="_Toc397936273"/>
      <w:bookmarkStart w:id="281" w:name="_Toc459991373"/>
      <w:bookmarkStart w:id="282" w:name="_Toc490726973"/>
      <w:bookmarkStart w:id="283" w:name="_Toc490727921"/>
      <w:bookmarkStart w:id="284" w:name="_Toc515549294"/>
      <w:bookmarkStart w:id="285" w:name="_Toc515549688"/>
      <w:bookmarkStart w:id="286" w:name="_Toc520127150"/>
      <w:bookmarkStart w:id="287" w:name="_Toc529890219"/>
      <w:bookmarkStart w:id="288" w:name="_Toc62483934"/>
      <w:bookmarkStart w:id="289" w:name="_Toc94710221"/>
      <w:r w:rsidRPr="00CD459A">
        <w:rPr>
          <w:rFonts w:ascii="Verdana" w:hAnsi="Verdana" w:cs="Arial"/>
          <w:b/>
          <w:bCs/>
          <w:color w:val="auto"/>
          <w:sz w:val="22"/>
          <w:szCs w:val="22"/>
          <w:lang w:val="es-ES_tradnl"/>
        </w:rPr>
        <w:t xml:space="preserve">5.6 </w:t>
      </w:r>
      <w:r w:rsidR="007C7EF4" w:rsidRPr="00CD459A">
        <w:rPr>
          <w:rFonts w:ascii="Verdana" w:hAnsi="Verdana" w:cs="Arial"/>
          <w:b/>
          <w:bCs/>
          <w:color w:val="auto"/>
          <w:sz w:val="22"/>
          <w:szCs w:val="22"/>
          <w:lang w:val="es-ES_tradnl"/>
        </w:rPr>
        <w:t>REGISTRO OFICIAL DE LIBROS DE CONTABILIDAD, DOCUMENTOS SOPORTE Y CONSERVACIÓN</w:t>
      </w:r>
      <w:bookmarkEnd w:id="280"/>
      <w:bookmarkEnd w:id="281"/>
      <w:bookmarkEnd w:id="282"/>
      <w:bookmarkEnd w:id="283"/>
      <w:bookmarkEnd w:id="284"/>
      <w:bookmarkEnd w:id="285"/>
      <w:bookmarkEnd w:id="286"/>
      <w:bookmarkEnd w:id="287"/>
      <w:bookmarkEnd w:id="288"/>
      <w:bookmarkEnd w:id="289"/>
      <w:r w:rsidR="007C7EF4" w:rsidRPr="00CD459A">
        <w:rPr>
          <w:rFonts w:ascii="Verdana" w:hAnsi="Verdana" w:cs="Arial"/>
          <w:b/>
          <w:bCs/>
          <w:color w:val="auto"/>
          <w:sz w:val="22"/>
          <w:szCs w:val="22"/>
          <w:lang w:val="es-ES_tradnl"/>
        </w:rPr>
        <w:t xml:space="preserve"> </w:t>
      </w:r>
    </w:p>
    <w:p w14:paraId="145D0CBC" w14:textId="77777777" w:rsidR="007C7EF4" w:rsidRPr="00CD459A" w:rsidRDefault="007C7EF4" w:rsidP="007C7EF4">
      <w:pPr>
        <w:pStyle w:val="Default"/>
        <w:jc w:val="both"/>
        <w:rPr>
          <w:rFonts w:ascii="Verdana" w:hAnsi="Verdana"/>
          <w:color w:val="auto"/>
          <w:sz w:val="22"/>
          <w:szCs w:val="22"/>
        </w:rPr>
      </w:pPr>
    </w:p>
    <w:p w14:paraId="50BE3E18"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El sistema general de regalías es una entidad contable pública, perteneciente a la Administración Central del Estado Colombiano, sujeta al ámbito de aplicación del sistema de presupuesto y giro de regalías, cuya organización desde el punto de vista contable está sujeta a lo definido por la Contaduría General de la Nación.</w:t>
      </w:r>
    </w:p>
    <w:p w14:paraId="2D610898" w14:textId="77777777" w:rsidR="007C7EF4" w:rsidRPr="00CD459A" w:rsidRDefault="007C7EF4" w:rsidP="007C7EF4">
      <w:pPr>
        <w:pStyle w:val="Default"/>
        <w:jc w:val="both"/>
        <w:rPr>
          <w:rFonts w:ascii="Verdana" w:hAnsi="Verdana"/>
          <w:color w:val="auto"/>
          <w:sz w:val="22"/>
          <w:szCs w:val="22"/>
        </w:rPr>
      </w:pPr>
    </w:p>
    <w:p w14:paraId="7E937BF1" w14:textId="5E56D250"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290" w:name="_Toc62483935"/>
      <w:bookmarkStart w:id="291" w:name="_Toc94710222"/>
      <w:r w:rsidRPr="00CD459A">
        <w:rPr>
          <w:rFonts w:ascii="Verdana" w:hAnsi="Verdana" w:cs="Arial"/>
          <w:color w:val="auto"/>
          <w:sz w:val="22"/>
          <w:szCs w:val="22"/>
        </w:rPr>
        <w:t xml:space="preserve">5.6.1 </w:t>
      </w:r>
      <w:r w:rsidR="007C7EF4" w:rsidRPr="00CD459A">
        <w:rPr>
          <w:rFonts w:ascii="Verdana" w:hAnsi="Verdana" w:cs="Arial"/>
          <w:color w:val="auto"/>
          <w:sz w:val="22"/>
          <w:szCs w:val="22"/>
        </w:rPr>
        <w:t>Organización Contable en el sistema</w:t>
      </w:r>
      <w:bookmarkEnd w:id="290"/>
      <w:bookmarkEnd w:id="291"/>
      <w:r w:rsidR="007C7EF4" w:rsidRPr="00CD459A">
        <w:rPr>
          <w:rFonts w:ascii="Verdana" w:hAnsi="Verdana" w:cs="Arial"/>
          <w:color w:val="auto"/>
          <w:sz w:val="22"/>
          <w:szCs w:val="22"/>
        </w:rPr>
        <w:t xml:space="preserve"> </w:t>
      </w:r>
    </w:p>
    <w:p w14:paraId="7B06CCC0" w14:textId="77777777" w:rsidR="007C7EF4" w:rsidRPr="00CD459A" w:rsidRDefault="007C7EF4" w:rsidP="007C7EF4">
      <w:pPr>
        <w:pStyle w:val="Ttulo3"/>
        <w:ind w:left="720"/>
        <w:jc w:val="both"/>
        <w:rPr>
          <w:rFonts w:ascii="Verdana" w:hAnsi="Verdana" w:cs="Arial"/>
          <w:color w:val="auto"/>
          <w:sz w:val="22"/>
          <w:szCs w:val="22"/>
        </w:rPr>
      </w:pPr>
    </w:p>
    <w:p w14:paraId="4EE9D9DC"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El Régimen de Contabilidad Pública – RPC para efectos del Sistema Nacional de Contabilidad Pública – SNCP en Colombia, establece que la entidad contable pública –ECP es la “unidad mínima productora de información que se caracteriza por ser una unidad jurídica y/o administrativa y/o económica, que desarrolla funciones de cometido estatal y controla recursos públicos; la propiedad pública o parte de ella le permite controlar o ejercer influencia importante; predomina la ausencia de lucro y que, por estas características, debe realizar una gestión eficiente; sujeta a diversas formas de control y a rendir cuentas sobre el uso de los recursos y el mantenimiento del patrimonio público. En consecuencia, la entidad contable pública debe desarrollar el proceso contable y producir estados, informes y reportes contables con base en las normas que expida el Contador General de la Nación”.</w:t>
      </w:r>
    </w:p>
    <w:p w14:paraId="7C57AD5A" w14:textId="77777777" w:rsidR="007C7EF4" w:rsidRPr="00CD459A" w:rsidRDefault="007C7EF4" w:rsidP="007C7EF4">
      <w:pPr>
        <w:pStyle w:val="Default"/>
        <w:jc w:val="both"/>
        <w:rPr>
          <w:rFonts w:ascii="Verdana" w:hAnsi="Verdana"/>
          <w:color w:val="auto"/>
          <w:sz w:val="22"/>
          <w:szCs w:val="22"/>
        </w:rPr>
      </w:pPr>
    </w:p>
    <w:p w14:paraId="4AA24D21"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La identificación de la ECP se realiza con el código institucional, que corresponde al número de nueve (9) dígitos asignados por la Contaduría General de la Nación para identificar una entidad contable pública, en el Sistema Consolidador de Hacienda –CHIP. Este número se denomina código de consolidación y para el SGR fue asignado el 923272447</w:t>
      </w:r>
    </w:p>
    <w:p w14:paraId="4F75D982" w14:textId="77777777" w:rsidR="007C7EF4" w:rsidRPr="00CD459A" w:rsidRDefault="007C7EF4" w:rsidP="007C7EF4">
      <w:pPr>
        <w:pStyle w:val="Default"/>
        <w:jc w:val="both"/>
        <w:rPr>
          <w:rFonts w:ascii="Verdana" w:hAnsi="Verdana"/>
          <w:color w:val="auto"/>
          <w:sz w:val="22"/>
          <w:szCs w:val="22"/>
        </w:rPr>
      </w:pPr>
    </w:p>
    <w:p w14:paraId="772626FE"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El RCP define el proceso contable “como un conjunto ordenado de etapas que se concretan en el reconocimiento y la revelación de las transacciones, los hechos y las operaciones financieras, económicas, sociales y ambientales, que afectan la situación, la actividad y la capacidad para prestar servicios o generar flujos de recursos de una entidad contable pública en particular. Para ello, el proceso contable captura datos de la realidad económica y jurídica de las entidades contables públicas, los analiza metodológicamente, realiza procesos de medición de las magnitudes de los recursos de que tratan los datos, los incorpora en su estructura de clasificación cronológica y conceptual, los representa por medio de instrumentos como la partida doble y la base del devengo o causación en su estructura de libros, y luego los agrega y sintetiza convirtiéndolos en estados, informes y reportes contables que son útiles para el control y la toma de decisiones sobre los recursos, por parte de diversos</w:t>
      </w:r>
      <w:r w:rsidRPr="00CD459A">
        <w:rPr>
          <w:rFonts w:ascii="Verdana" w:hAnsi="Verdana"/>
          <w:color w:val="auto"/>
          <w:spacing w:val="-8"/>
          <w:sz w:val="22"/>
          <w:szCs w:val="22"/>
        </w:rPr>
        <w:t xml:space="preserve"> </w:t>
      </w:r>
      <w:r w:rsidRPr="00CD459A">
        <w:rPr>
          <w:rFonts w:ascii="Verdana" w:hAnsi="Verdana"/>
          <w:color w:val="auto"/>
          <w:sz w:val="22"/>
          <w:szCs w:val="22"/>
        </w:rPr>
        <w:t>usuarios”.</w:t>
      </w:r>
    </w:p>
    <w:p w14:paraId="0DB2C527" w14:textId="77777777" w:rsidR="007C7EF4" w:rsidRPr="00CD459A" w:rsidRDefault="007C7EF4" w:rsidP="007C7EF4">
      <w:pPr>
        <w:pStyle w:val="Default"/>
        <w:jc w:val="both"/>
        <w:rPr>
          <w:rFonts w:ascii="Verdana" w:hAnsi="Verdana"/>
          <w:color w:val="auto"/>
          <w:sz w:val="22"/>
          <w:szCs w:val="22"/>
        </w:rPr>
      </w:pPr>
    </w:p>
    <w:p w14:paraId="1E422BC8" w14:textId="5B944C4D"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292" w:name="_Toc62483936"/>
      <w:bookmarkStart w:id="293" w:name="_Toc94710223"/>
      <w:r w:rsidRPr="00CD459A">
        <w:rPr>
          <w:rFonts w:ascii="Verdana" w:hAnsi="Verdana" w:cs="Arial"/>
          <w:color w:val="auto"/>
          <w:sz w:val="22"/>
          <w:szCs w:val="22"/>
        </w:rPr>
        <w:t xml:space="preserve">5.6.2 </w:t>
      </w:r>
      <w:r w:rsidR="007C7EF4" w:rsidRPr="00CD459A">
        <w:rPr>
          <w:rFonts w:ascii="Verdana" w:hAnsi="Verdana" w:cs="Arial"/>
          <w:color w:val="auto"/>
          <w:sz w:val="22"/>
          <w:szCs w:val="22"/>
        </w:rPr>
        <w:t>Soportes de Contabilidad</w:t>
      </w:r>
      <w:bookmarkEnd w:id="292"/>
      <w:bookmarkEnd w:id="293"/>
      <w:r w:rsidR="007C7EF4" w:rsidRPr="00CD459A">
        <w:rPr>
          <w:rFonts w:ascii="Verdana" w:hAnsi="Verdana" w:cs="Arial"/>
          <w:color w:val="auto"/>
          <w:sz w:val="22"/>
          <w:szCs w:val="22"/>
        </w:rPr>
        <w:t xml:space="preserve"> </w:t>
      </w:r>
    </w:p>
    <w:p w14:paraId="6B965D7D" w14:textId="77777777" w:rsidR="007C7EF4" w:rsidRPr="00CD459A" w:rsidRDefault="007C7EF4" w:rsidP="007C7EF4">
      <w:pPr>
        <w:pStyle w:val="Default"/>
        <w:ind w:left="1440"/>
        <w:jc w:val="both"/>
        <w:rPr>
          <w:rFonts w:ascii="Verdana" w:hAnsi="Verdana"/>
          <w:color w:val="auto"/>
          <w:sz w:val="22"/>
          <w:szCs w:val="22"/>
        </w:rPr>
      </w:pPr>
    </w:p>
    <w:p w14:paraId="028D6958"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Para efecto del Sistema General de Regalías los soportes de los registros contables automáticos se conservan en el área generadora de la operación bajo los lineamientos se deben conservar en la forma y el orden en que hayan sido expedidos, bien sea por medios físicos y/o electrónicos.</w:t>
      </w:r>
    </w:p>
    <w:p w14:paraId="060EFBDC" w14:textId="77777777" w:rsidR="007C7EF4" w:rsidRPr="00CD459A" w:rsidRDefault="007C7EF4" w:rsidP="007C7EF4">
      <w:pPr>
        <w:pStyle w:val="Default"/>
        <w:jc w:val="both"/>
        <w:rPr>
          <w:rFonts w:ascii="Verdana" w:hAnsi="Verdana"/>
          <w:color w:val="auto"/>
          <w:sz w:val="22"/>
          <w:szCs w:val="22"/>
        </w:rPr>
      </w:pPr>
    </w:p>
    <w:p w14:paraId="07E0E4D2"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Cuando se trate de ajustes contables manuales los ajustes se documentan, se justifican y se archivan en el servidor del Ministerio de Hacienda en carpetas identificadas por mes y año, referenciando el número de comprobante asignado por el SPGR.</w:t>
      </w:r>
    </w:p>
    <w:p w14:paraId="59B6F1BE" w14:textId="77777777" w:rsidR="007C7EF4" w:rsidRPr="00CD459A" w:rsidRDefault="007C7EF4" w:rsidP="007C7EF4">
      <w:pPr>
        <w:jc w:val="both"/>
        <w:rPr>
          <w:rFonts w:ascii="Verdana" w:eastAsia="Calibri" w:hAnsi="Verdana" w:cs="Arial"/>
        </w:rPr>
      </w:pPr>
      <w:r w:rsidRPr="00CD459A">
        <w:rPr>
          <w:rFonts w:ascii="Verdana" w:eastAsia="Calibri" w:hAnsi="Verdana" w:cs="Arial"/>
        </w:rPr>
        <w:t xml:space="preserve"> </w:t>
      </w:r>
      <w:bookmarkStart w:id="294" w:name="_Toc515549295"/>
      <w:bookmarkStart w:id="295" w:name="_Toc515549689"/>
      <w:bookmarkStart w:id="296" w:name="_Toc520127151"/>
      <w:bookmarkStart w:id="297" w:name="_Toc529890220"/>
    </w:p>
    <w:p w14:paraId="5A64F013" w14:textId="01B06AD4" w:rsidR="007C7EF4" w:rsidRPr="00CD459A" w:rsidRDefault="007C7EF4" w:rsidP="00AB3D96">
      <w:pPr>
        <w:pStyle w:val="Ttulo1"/>
        <w:widowControl w:val="0"/>
        <w:numPr>
          <w:ilvl w:val="0"/>
          <w:numId w:val="98"/>
        </w:numPr>
        <w:spacing w:before="0" w:after="0"/>
        <w:jc w:val="both"/>
        <w:rPr>
          <w:rFonts w:ascii="Verdana" w:hAnsi="Verdana"/>
          <w:sz w:val="22"/>
          <w:szCs w:val="22"/>
          <w:lang w:val="es-ES_tradnl"/>
        </w:rPr>
      </w:pPr>
      <w:bookmarkStart w:id="298" w:name="_Toc62483937"/>
      <w:bookmarkStart w:id="299" w:name="_Toc94710224"/>
      <w:r w:rsidRPr="00CD459A">
        <w:rPr>
          <w:rFonts w:ascii="Verdana" w:hAnsi="Verdana"/>
          <w:sz w:val="22"/>
          <w:szCs w:val="22"/>
          <w:lang w:val="es-ES_tradnl"/>
        </w:rPr>
        <w:t>MARCO CONCEPTUAL</w:t>
      </w:r>
      <w:bookmarkEnd w:id="294"/>
      <w:bookmarkEnd w:id="295"/>
      <w:bookmarkEnd w:id="296"/>
      <w:bookmarkEnd w:id="297"/>
      <w:bookmarkEnd w:id="298"/>
      <w:bookmarkEnd w:id="299"/>
    </w:p>
    <w:p w14:paraId="6D5AEAFB" w14:textId="77777777" w:rsidR="007C7EF4" w:rsidRPr="00CD459A" w:rsidRDefault="007C7EF4" w:rsidP="007C7EF4">
      <w:pPr>
        <w:tabs>
          <w:tab w:val="left" w:pos="0"/>
          <w:tab w:val="left" w:pos="142"/>
          <w:tab w:val="left" w:pos="284"/>
        </w:tabs>
        <w:ind w:left="142"/>
        <w:jc w:val="both"/>
        <w:rPr>
          <w:rFonts w:ascii="Verdana" w:hAnsi="Verdana" w:cs="Arial"/>
          <w:lang w:val="es-ES_tradnl"/>
        </w:rPr>
      </w:pPr>
    </w:p>
    <w:p w14:paraId="53F59678" w14:textId="6CD69715"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300" w:name="_Toc482977943"/>
      <w:bookmarkStart w:id="301" w:name="_Toc515549296"/>
      <w:bookmarkStart w:id="302" w:name="_Toc515549690"/>
      <w:bookmarkStart w:id="303" w:name="_Toc520127152"/>
      <w:bookmarkStart w:id="304" w:name="_Toc529890221"/>
      <w:bookmarkStart w:id="305" w:name="_Toc62483938"/>
      <w:bookmarkStart w:id="306" w:name="_Toc94710225"/>
      <w:r w:rsidRPr="00CD459A">
        <w:rPr>
          <w:rFonts w:ascii="Verdana" w:hAnsi="Verdana" w:cs="Arial"/>
          <w:b/>
          <w:bCs/>
          <w:color w:val="auto"/>
          <w:sz w:val="22"/>
          <w:szCs w:val="22"/>
          <w:lang w:val="es-ES_tradnl"/>
        </w:rPr>
        <w:t xml:space="preserve">6.1 </w:t>
      </w:r>
      <w:r w:rsidR="007C7EF4" w:rsidRPr="00CD459A">
        <w:rPr>
          <w:rFonts w:ascii="Verdana" w:hAnsi="Verdana" w:cs="Arial"/>
          <w:b/>
          <w:bCs/>
          <w:color w:val="auto"/>
          <w:sz w:val="22"/>
          <w:szCs w:val="22"/>
          <w:lang w:val="es-ES_tradnl"/>
        </w:rPr>
        <w:t>USUARIOS DE LA INFORMACIÓN FINANCIERA</w:t>
      </w:r>
      <w:bookmarkEnd w:id="300"/>
      <w:bookmarkEnd w:id="301"/>
      <w:bookmarkEnd w:id="302"/>
      <w:bookmarkEnd w:id="303"/>
      <w:bookmarkEnd w:id="304"/>
      <w:bookmarkEnd w:id="305"/>
      <w:bookmarkEnd w:id="306"/>
    </w:p>
    <w:p w14:paraId="0F9A5A08" w14:textId="77777777" w:rsidR="007C7EF4" w:rsidRPr="00CD459A" w:rsidRDefault="007C7EF4" w:rsidP="007C7EF4">
      <w:pPr>
        <w:ind w:left="720"/>
        <w:jc w:val="both"/>
        <w:rPr>
          <w:rFonts w:ascii="Verdana" w:hAnsi="Verdana" w:cs="Arial"/>
          <w:lang w:val="es-ES_tradnl"/>
        </w:rPr>
      </w:pPr>
    </w:p>
    <w:p w14:paraId="589E6867" w14:textId="1AE61B4F" w:rsidR="007C7EF4" w:rsidRPr="00CD459A" w:rsidRDefault="007C7EF4" w:rsidP="007C7EF4">
      <w:pPr>
        <w:jc w:val="both"/>
        <w:rPr>
          <w:rFonts w:ascii="Verdana" w:hAnsi="Verdana" w:cs="Arial"/>
          <w:lang w:val="es-ES_tradnl"/>
        </w:rPr>
      </w:pPr>
      <w:r w:rsidRPr="00CD459A">
        <w:rPr>
          <w:rFonts w:ascii="Verdana" w:hAnsi="Verdana" w:cs="Arial"/>
          <w:lang w:eastAsia="es-CO"/>
        </w:rPr>
        <w:t>De acuerdo con lo establecido en el Marco Conceptual para la Preparación y Presentación de Información Financiera de las entidades de gobierno, emitido por la Contaduría General de la Nación</w:t>
      </w:r>
      <w:r w:rsidRPr="00CD459A">
        <w:rPr>
          <w:rFonts w:ascii="Verdana" w:hAnsi="Verdana" w:cs="Arial"/>
          <w:lang w:val="es-ES_tradnl"/>
        </w:rPr>
        <w:t xml:space="preserve">, los usuarios de la información financiera son, entre otros, los siguientes: </w:t>
      </w:r>
    </w:p>
    <w:p w14:paraId="5018269C"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 xml:space="preserve">La comunidad y los ciudadanos (cuyo bienestar y convivencia es el objetivo fundamental de las funciones de cometido estatal) quienes, en su condición de contribuyentes y beneficiarios de los bienes y servicios públicos, tienen interés en información financiera que les permita conocer la gestión, el uso y la condición de los recursos y el patrimonio públicos. </w:t>
      </w:r>
    </w:p>
    <w:p w14:paraId="498E1DCA"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 xml:space="preserve">Los organismos de planificación y desarrollo de la política económica y social los cuales requieren información financiera para orientar la política pública; coordinar los cursos de acción de las entidades de gobierno según el interés general y mejorar la gestión eficiente de los recursos públicos, así como para efectos de compilar, evaluar y analizar las políticas y estadísticas fiscales; evaluar el resultado fiscal y la situación del endeudamiento público, del ahorro y de la inversión pública; tomar decisiones con respecto a la regulación de los precios y las tarifas; y planear la redistribución de la renta y la riqueza. </w:t>
      </w:r>
    </w:p>
    <w:p w14:paraId="6C19B688"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 xml:space="preserve">Las propias entidades y sus gestores quienes están interesados en realizar seguimiento y control interno a sus operaciones, así como en preparar estados financieros con el fin de conocer su situación financiera, para realizar una gestión eficiente de los recursos públicos y rendir cuentas a los órganos de control administrativo, fiscal, político y ciudadano. </w:t>
      </w:r>
    </w:p>
    <w:p w14:paraId="317C6BAE"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Las agencias que efectúan donaciones a entes de gobierno, los prestamistas que suministran recursos a la entidad de gobierno o realizan transacciones con esta y los que financian los servicios que presta, quienes requieren información para decidir si continúan o no apoyando o financiando las actividades presentes y futuras del Gobierno.</w:t>
      </w:r>
    </w:p>
    <w:p w14:paraId="0D3BB7D3"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Los órganos de representación política como el Congreso, las Asambleas y los Concejos que exigen la información contable para conocer el uso de los recursos públicos con el fin de ejercer control político y decidir sobre la financiación de programas, nuevas obras o proyectos por medio de la asignación de dichos recursos a través del presupuesto público.</w:t>
      </w:r>
    </w:p>
    <w:p w14:paraId="4707C350"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Los organismos de control externo que demandan información financiera para formar un juicio en relación con el manejo, uso, gestión, conservación y salvaguarda de los recursos y el patrimonio públicos.</w:t>
      </w:r>
    </w:p>
    <w:p w14:paraId="0FDCAD9B" w14:textId="77777777" w:rsidR="007C7EF4" w:rsidRPr="00CD459A" w:rsidRDefault="007C7EF4" w:rsidP="00AB3D96">
      <w:pPr>
        <w:pStyle w:val="Prrafodelista"/>
        <w:numPr>
          <w:ilvl w:val="0"/>
          <w:numId w:val="3"/>
        </w:numPr>
        <w:spacing w:after="0" w:line="240" w:lineRule="auto"/>
        <w:ind w:left="709" w:hanging="709"/>
        <w:jc w:val="both"/>
        <w:rPr>
          <w:rFonts w:ascii="Verdana" w:hAnsi="Verdana" w:cs="Arial"/>
          <w:lang w:val="es-ES_tradnl"/>
        </w:rPr>
      </w:pPr>
      <w:r w:rsidRPr="00CD459A">
        <w:rPr>
          <w:rFonts w:ascii="Verdana" w:hAnsi="Verdana" w:cs="Arial"/>
          <w:lang w:val="es-ES_tradnl"/>
        </w:rPr>
        <w:t>La Contaduría General de la Nación que requiere información para los fines de consolidación y gestión de la información financiera del sector público, la cual es utilizada por otros usuarios en la toma de decisiones y en el ejercicio del control.</w:t>
      </w:r>
    </w:p>
    <w:p w14:paraId="1FFCC91C" w14:textId="77777777" w:rsidR="007C7EF4" w:rsidRPr="00CD459A" w:rsidRDefault="007C7EF4" w:rsidP="007C7EF4">
      <w:pPr>
        <w:pStyle w:val="Prrafodelista"/>
        <w:jc w:val="both"/>
        <w:rPr>
          <w:rFonts w:ascii="Verdana" w:hAnsi="Verdana" w:cs="Arial"/>
          <w:lang w:val="es-ES_tradnl"/>
        </w:rPr>
      </w:pPr>
    </w:p>
    <w:p w14:paraId="3FBBFAAF" w14:textId="77777777" w:rsidR="007C7EF4" w:rsidRPr="00CD459A" w:rsidRDefault="007C7EF4" w:rsidP="00AB3D96">
      <w:pPr>
        <w:pStyle w:val="Prrafodelista"/>
        <w:keepNext/>
        <w:keepLines/>
        <w:numPr>
          <w:ilvl w:val="0"/>
          <w:numId w:val="2"/>
        </w:numPr>
        <w:spacing w:after="0" w:line="240" w:lineRule="auto"/>
        <w:contextualSpacing w:val="0"/>
        <w:jc w:val="both"/>
        <w:outlineLvl w:val="1"/>
        <w:rPr>
          <w:rFonts w:ascii="Verdana" w:hAnsi="Verdana" w:cs="Arial"/>
          <w:vanish/>
          <w:lang w:val="es-ES_tradnl"/>
        </w:rPr>
      </w:pPr>
      <w:bookmarkStart w:id="307" w:name="_Toc455141615"/>
      <w:bookmarkStart w:id="308" w:name="_Toc455487900"/>
      <w:bookmarkStart w:id="309" w:name="_Toc455582559"/>
      <w:bookmarkStart w:id="310" w:name="_Toc460567801"/>
      <w:bookmarkStart w:id="311" w:name="_Toc461018921"/>
      <w:bookmarkStart w:id="312" w:name="_Toc461028333"/>
      <w:bookmarkStart w:id="313" w:name="_Toc461028634"/>
      <w:bookmarkStart w:id="314" w:name="_Toc461029050"/>
      <w:bookmarkStart w:id="315" w:name="_Toc461029357"/>
      <w:bookmarkStart w:id="316" w:name="_Toc461029652"/>
      <w:bookmarkStart w:id="317" w:name="_Toc465759482"/>
      <w:bookmarkStart w:id="318" w:name="_Toc465759675"/>
      <w:bookmarkStart w:id="319" w:name="_Toc465759976"/>
      <w:bookmarkStart w:id="320" w:name="_Toc465760117"/>
      <w:bookmarkStart w:id="321" w:name="_Toc468266282"/>
      <w:bookmarkStart w:id="322" w:name="_Toc468288365"/>
      <w:bookmarkStart w:id="323" w:name="_Toc468291259"/>
      <w:bookmarkStart w:id="324" w:name="_Toc468361382"/>
      <w:bookmarkStart w:id="325" w:name="_Toc468633704"/>
      <w:bookmarkStart w:id="326" w:name="_Toc468633829"/>
      <w:bookmarkStart w:id="327" w:name="_Toc472025380"/>
      <w:bookmarkStart w:id="328" w:name="_Toc475031940"/>
      <w:bookmarkStart w:id="329" w:name="_Toc475034386"/>
      <w:bookmarkStart w:id="330" w:name="_Toc475034829"/>
      <w:bookmarkStart w:id="331" w:name="_Toc475080939"/>
      <w:bookmarkStart w:id="332" w:name="_Toc475081187"/>
      <w:bookmarkStart w:id="333" w:name="_Toc475081322"/>
      <w:bookmarkStart w:id="334" w:name="_Toc475081516"/>
      <w:bookmarkStart w:id="335" w:name="_Toc475085827"/>
      <w:bookmarkStart w:id="336" w:name="_Toc475354954"/>
      <w:bookmarkStart w:id="337" w:name="_Toc477519434"/>
      <w:bookmarkStart w:id="338" w:name="_Toc477519597"/>
      <w:bookmarkStart w:id="339" w:name="_Toc477519730"/>
      <w:bookmarkStart w:id="340" w:name="_Toc477521385"/>
      <w:bookmarkStart w:id="341" w:name="_Toc477521518"/>
      <w:bookmarkStart w:id="342" w:name="_Toc477521652"/>
      <w:bookmarkStart w:id="343" w:name="_Toc477956113"/>
      <w:bookmarkStart w:id="344" w:name="_Toc477957561"/>
      <w:bookmarkStart w:id="345" w:name="_Toc477957695"/>
      <w:bookmarkStart w:id="346" w:name="_Toc477970127"/>
      <w:bookmarkStart w:id="347" w:name="_Toc477971119"/>
      <w:bookmarkStart w:id="348" w:name="_Toc478463379"/>
      <w:bookmarkStart w:id="349" w:name="_Toc478556563"/>
      <w:bookmarkStart w:id="350" w:name="_Toc478577858"/>
      <w:bookmarkStart w:id="351" w:name="_Toc482977944"/>
      <w:bookmarkStart w:id="352" w:name="_Toc501647813"/>
      <w:bookmarkStart w:id="353" w:name="_Toc501647897"/>
      <w:bookmarkStart w:id="354" w:name="_Toc501648399"/>
      <w:bookmarkStart w:id="355" w:name="_Toc501648481"/>
      <w:bookmarkStart w:id="356" w:name="_Toc501648564"/>
      <w:bookmarkStart w:id="357" w:name="_Toc501701971"/>
      <w:bookmarkStart w:id="358" w:name="_Toc502072551"/>
      <w:bookmarkStart w:id="359" w:name="_Toc502073066"/>
      <w:bookmarkStart w:id="360" w:name="_Toc502073905"/>
      <w:bookmarkStart w:id="361" w:name="_Toc502074059"/>
      <w:bookmarkStart w:id="362" w:name="_Toc502074151"/>
      <w:bookmarkStart w:id="363" w:name="_Toc502247162"/>
      <w:bookmarkStart w:id="364" w:name="_Toc502247546"/>
      <w:bookmarkStart w:id="365" w:name="_Toc502247644"/>
      <w:bookmarkStart w:id="366" w:name="_Toc502247732"/>
      <w:bookmarkStart w:id="367" w:name="_Toc502248392"/>
      <w:bookmarkStart w:id="368" w:name="_Toc502248493"/>
      <w:bookmarkStart w:id="369" w:name="_Toc502254689"/>
      <w:bookmarkStart w:id="370" w:name="_Toc502254864"/>
      <w:bookmarkStart w:id="371" w:name="_Toc502254978"/>
      <w:bookmarkStart w:id="372" w:name="_Toc502255301"/>
      <w:bookmarkStart w:id="373" w:name="_Toc502255428"/>
      <w:bookmarkStart w:id="374" w:name="_Toc502255555"/>
      <w:bookmarkStart w:id="375" w:name="_Toc502255682"/>
      <w:bookmarkStart w:id="376" w:name="_Toc502255809"/>
      <w:bookmarkStart w:id="377" w:name="_Toc502255941"/>
      <w:bookmarkStart w:id="378" w:name="_Toc502256080"/>
      <w:bookmarkStart w:id="379" w:name="_Toc502256207"/>
      <w:bookmarkStart w:id="380" w:name="_Toc502256334"/>
      <w:bookmarkStart w:id="381" w:name="_Toc502256461"/>
      <w:bookmarkStart w:id="382" w:name="_Toc502256588"/>
      <w:bookmarkStart w:id="383" w:name="_Toc502340810"/>
      <w:bookmarkStart w:id="384" w:name="_Toc502341751"/>
      <w:bookmarkStart w:id="385" w:name="_Toc503347074"/>
      <w:bookmarkStart w:id="386" w:name="_Toc503347378"/>
      <w:bookmarkStart w:id="387" w:name="_Toc503436172"/>
      <w:bookmarkStart w:id="388" w:name="_Toc503779200"/>
      <w:bookmarkStart w:id="389" w:name="_Toc503779901"/>
      <w:bookmarkStart w:id="390" w:name="_Toc503780051"/>
      <w:bookmarkStart w:id="391" w:name="_Toc503859532"/>
      <w:bookmarkStart w:id="392" w:name="_Toc503862882"/>
      <w:bookmarkStart w:id="393" w:name="_Toc503864182"/>
      <w:bookmarkStart w:id="394" w:name="_Toc503886851"/>
      <w:bookmarkStart w:id="395" w:name="_Toc503968652"/>
      <w:bookmarkStart w:id="396" w:name="_Toc503969399"/>
      <w:bookmarkStart w:id="397" w:name="_Toc503969571"/>
      <w:bookmarkStart w:id="398" w:name="_Toc503974811"/>
      <w:bookmarkStart w:id="399" w:name="_Toc504059789"/>
      <w:bookmarkStart w:id="400" w:name="_Toc504403650"/>
      <w:bookmarkStart w:id="401" w:name="_Toc506213254"/>
      <w:bookmarkStart w:id="402" w:name="_Toc506282130"/>
      <w:bookmarkStart w:id="403" w:name="_Toc506300340"/>
      <w:bookmarkStart w:id="404" w:name="_Toc506301923"/>
      <w:bookmarkStart w:id="405" w:name="_Toc506559423"/>
      <w:bookmarkStart w:id="406" w:name="_Toc506559625"/>
      <w:bookmarkStart w:id="407" w:name="_Toc506560050"/>
      <w:bookmarkStart w:id="408" w:name="_Toc506796315"/>
      <w:bookmarkStart w:id="409" w:name="_Toc506801034"/>
      <w:bookmarkStart w:id="410" w:name="_Toc506813415"/>
      <w:bookmarkStart w:id="411" w:name="_Toc508097805"/>
      <w:bookmarkStart w:id="412" w:name="_Toc508101421"/>
      <w:bookmarkStart w:id="413" w:name="_Toc509583834"/>
      <w:bookmarkStart w:id="414" w:name="_Toc514164631"/>
      <w:bookmarkStart w:id="415" w:name="_Toc514164867"/>
      <w:bookmarkStart w:id="416" w:name="_Toc514688477"/>
      <w:bookmarkStart w:id="417" w:name="_Toc515519462"/>
      <w:bookmarkStart w:id="418" w:name="_Toc515523621"/>
      <w:bookmarkStart w:id="419" w:name="_Toc515525281"/>
      <w:bookmarkStart w:id="420" w:name="_Toc515532846"/>
      <w:bookmarkStart w:id="421" w:name="_Toc515534760"/>
      <w:bookmarkStart w:id="422" w:name="_Toc515546613"/>
      <w:bookmarkStart w:id="423" w:name="_Toc515547237"/>
      <w:bookmarkStart w:id="424" w:name="_Toc515549011"/>
      <w:bookmarkStart w:id="425" w:name="_Toc515549297"/>
      <w:bookmarkStart w:id="426" w:name="_Toc515549608"/>
      <w:bookmarkStart w:id="427" w:name="_Toc515549691"/>
      <w:bookmarkStart w:id="428" w:name="_Toc515549977"/>
      <w:bookmarkStart w:id="429" w:name="_Toc515551542"/>
      <w:bookmarkStart w:id="430" w:name="_Toc515609701"/>
      <w:bookmarkStart w:id="431" w:name="_Toc515610001"/>
      <w:bookmarkStart w:id="432" w:name="_Toc515611755"/>
      <w:bookmarkStart w:id="433" w:name="_Toc515612056"/>
      <w:bookmarkStart w:id="434" w:name="_Toc515612357"/>
      <w:bookmarkStart w:id="435" w:name="_Toc515612947"/>
      <w:bookmarkStart w:id="436" w:name="_Toc515617809"/>
      <w:bookmarkStart w:id="437" w:name="_Toc515618565"/>
      <w:bookmarkStart w:id="438" w:name="_Toc515618852"/>
      <w:bookmarkStart w:id="439" w:name="_Toc515619139"/>
      <w:bookmarkStart w:id="440" w:name="_Toc515619425"/>
      <w:bookmarkStart w:id="441" w:name="_Toc515630638"/>
      <w:bookmarkStart w:id="442" w:name="_Toc515631310"/>
      <w:bookmarkStart w:id="443" w:name="_Toc515634129"/>
      <w:bookmarkStart w:id="444" w:name="_Toc515634414"/>
      <w:bookmarkStart w:id="445" w:name="_Toc515634699"/>
      <w:bookmarkStart w:id="446" w:name="_Toc515634984"/>
      <w:bookmarkStart w:id="447" w:name="_Toc515635283"/>
      <w:bookmarkStart w:id="448" w:name="_Toc515635576"/>
      <w:bookmarkStart w:id="449" w:name="_Toc515635881"/>
      <w:bookmarkStart w:id="450" w:name="_Toc515636167"/>
      <w:bookmarkStart w:id="451" w:name="_Toc515636459"/>
      <w:bookmarkStart w:id="452" w:name="_Toc515636745"/>
      <w:bookmarkStart w:id="453" w:name="_Toc515637032"/>
      <w:bookmarkStart w:id="454" w:name="_Toc515637320"/>
      <w:bookmarkStart w:id="455" w:name="_Toc515637608"/>
      <w:bookmarkStart w:id="456" w:name="_Toc515637896"/>
      <w:bookmarkStart w:id="457" w:name="_Toc515638183"/>
      <w:bookmarkStart w:id="458" w:name="_Toc515639003"/>
      <w:bookmarkStart w:id="459" w:name="_Toc515639310"/>
      <w:bookmarkStart w:id="460" w:name="_Toc516234409"/>
      <w:bookmarkStart w:id="461" w:name="_Toc516559412"/>
      <w:bookmarkStart w:id="462" w:name="_Toc517171852"/>
      <w:bookmarkStart w:id="463" w:name="_Toc517172164"/>
      <w:bookmarkStart w:id="464" w:name="_Toc517172476"/>
      <w:bookmarkStart w:id="465" w:name="_Toc517340169"/>
      <w:bookmarkStart w:id="466" w:name="_Toc517342070"/>
      <w:bookmarkStart w:id="467" w:name="_Toc517342392"/>
      <w:bookmarkStart w:id="468" w:name="_Toc517343049"/>
      <w:bookmarkStart w:id="469" w:name="_Toc517793757"/>
      <w:bookmarkStart w:id="470" w:name="_Toc518054301"/>
      <w:bookmarkStart w:id="471" w:name="_Toc518055240"/>
      <w:bookmarkStart w:id="472" w:name="_Toc518067186"/>
      <w:bookmarkStart w:id="473" w:name="_Toc518067523"/>
      <w:bookmarkStart w:id="474" w:name="_Toc518068019"/>
      <w:bookmarkStart w:id="475" w:name="_Toc519582182"/>
      <w:bookmarkStart w:id="476" w:name="_Toc519688562"/>
      <w:bookmarkStart w:id="477" w:name="_Toc519695051"/>
      <w:bookmarkStart w:id="478" w:name="_Toc519695590"/>
      <w:bookmarkStart w:id="479" w:name="_Toc519699222"/>
      <w:bookmarkStart w:id="480" w:name="_Toc519699595"/>
      <w:bookmarkStart w:id="481" w:name="_Toc520126785"/>
      <w:bookmarkStart w:id="482" w:name="_Toc520127153"/>
      <w:bookmarkStart w:id="483" w:name="_Toc520127516"/>
      <w:bookmarkStart w:id="484" w:name="_Toc520128247"/>
      <w:bookmarkStart w:id="485" w:name="_Toc520128610"/>
      <w:bookmarkStart w:id="486" w:name="_Toc520128975"/>
      <w:bookmarkStart w:id="487" w:name="_Toc520130492"/>
      <w:bookmarkStart w:id="488" w:name="_Toc520130973"/>
      <w:bookmarkStart w:id="489" w:name="_Toc520132032"/>
      <w:bookmarkStart w:id="490" w:name="_Toc520132397"/>
      <w:bookmarkStart w:id="491" w:name="_Toc520132762"/>
      <w:bookmarkStart w:id="492" w:name="_Toc520133139"/>
      <w:bookmarkStart w:id="493" w:name="_Toc520133517"/>
      <w:bookmarkStart w:id="494" w:name="_Toc520922300"/>
      <w:bookmarkStart w:id="495" w:name="_Toc520924450"/>
      <w:bookmarkStart w:id="496" w:name="_Toc520925255"/>
      <w:bookmarkStart w:id="497" w:name="_Toc520925655"/>
      <w:bookmarkStart w:id="498" w:name="_Toc520926055"/>
      <w:bookmarkStart w:id="499" w:name="_Toc520926454"/>
      <w:bookmarkStart w:id="500" w:name="_Toc520926855"/>
      <w:bookmarkStart w:id="501" w:name="_Toc520927256"/>
      <w:bookmarkStart w:id="502" w:name="_Toc520927659"/>
      <w:bookmarkStart w:id="503" w:name="_Toc520928060"/>
      <w:bookmarkStart w:id="504" w:name="_Toc520992434"/>
      <w:bookmarkStart w:id="505" w:name="_Toc520992836"/>
      <w:bookmarkStart w:id="506" w:name="_Toc520994453"/>
      <w:bookmarkStart w:id="507" w:name="_Toc520994860"/>
      <w:bookmarkStart w:id="508" w:name="_Toc520995262"/>
      <w:bookmarkStart w:id="509" w:name="_Toc520995664"/>
      <w:bookmarkStart w:id="510" w:name="_Toc520996066"/>
      <w:bookmarkStart w:id="511" w:name="_Toc520996468"/>
      <w:bookmarkStart w:id="512" w:name="_Toc520996870"/>
      <w:bookmarkStart w:id="513" w:name="_Toc520997272"/>
      <w:bookmarkStart w:id="514" w:name="_Toc520997674"/>
      <w:bookmarkStart w:id="515" w:name="_Toc520998076"/>
      <w:bookmarkStart w:id="516" w:name="_Toc520998478"/>
      <w:bookmarkStart w:id="517" w:name="_Toc520998881"/>
      <w:bookmarkStart w:id="518" w:name="_Toc520999283"/>
      <w:bookmarkStart w:id="519" w:name="_Toc520999690"/>
      <w:bookmarkStart w:id="520" w:name="_Toc521000092"/>
      <w:bookmarkStart w:id="521" w:name="_Toc521000494"/>
      <w:bookmarkStart w:id="522" w:name="_Toc521000896"/>
      <w:bookmarkStart w:id="523" w:name="_Toc521001298"/>
      <w:bookmarkStart w:id="524" w:name="_Toc521001700"/>
      <w:bookmarkStart w:id="525" w:name="_Toc521002101"/>
      <w:bookmarkStart w:id="526" w:name="_Toc521002502"/>
      <w:bookmarkStart w:id="527" w:name="_Toc521002902"/>
      <w:bookmarkStart w:id="528" w:name="_Toc521003304"/>
      <w:bookmarkStart w:id="529" w:name="_Toc521003705"/>
      <w:bookmarkStart w:id="530" w:name="_Toc521004106"/>
      <w:bookmarkStart w:id="531" w:name="_Toc521004507"/>
      <w:bookmarkStart w:id="532" w:name="_Toc521005310"/>
      <w:bookmarkStart w:id="533" w:name="_Toc521005711"/>
      <w:bookmarkStart w:id="534" w:name="_Toc521006117"/>
      <w:bookmarkStart w:id="535" w:name="_Toc521006519"/>
      <w:bookmarkStart w:id="536" w:name="_Toc521006922"/>
      <w:bookmarkStart w:id="537" w:name="_Toc521007330"/>
      <w:bookmarkStart w:id="538" w:name="_Toc521007737"/>
      <w:bookmarkStart w:id="539" w:name="_Toc521008145"/>
      <w:bookmarkStart w:id="540" w:name="_Toc521071913"/>
      <w:bookmarkStart w:id="541" w:name="_Toc521072963"/>
      <w:bookmarkStart w:id="542" w:name="_Toc521073999"/>
      <w:bookmarkStart w:id="543" w:name="_Toc521074830"/>
      <w:bookmarkStart w:id="544" w:name="_Toc521075551"/>
      <w:bookmarkStart w:id="545" w:name="_Toc521075982"/>
      <w:bookmarkStart w:id="546" w:name="_Toc521076391"/>
      <w:bookmarkStart w:id="547" w:name="_Toc521076800"/>
      <w:bookmarkStart w:id="548" w:name="_Toc521077478"/>
      <w:bookmarkStart w:id="549" w:name="_Toc521077887"/>
      <w:bookmarkStart w:id="550" w:name="_Toc521078298"/>
      <w:bookmarkStart w:id="551" w:name="_Toc521078707"/>
      <w:bookmarkStart w:id="552" w:name="_Toc521079116"/>
      <w:bookmarkStart w:id="553" w:name="_Toc521079524"/>
      <w:bookmarkStart w:id="554" w:name="_Toc521079942"/>
      <w:bookmarkStart w:id="555" w:name="_Toc521080350"/>
      <w:bookmarkStart w:id="556" w:name="_Toc521080759"/>
      <w:bookmarkStart w:id="557" w:name="_Toc521081168"/>
      <w:bookmarkStart w:id="558" w:name="_Toc521081576"/>
      <w:bookmarkStart w:id="559" w:name="_Toc521089530"/>
      <w:bookmarkStart w:id="560" w:name="_Toc529871768"/>
      <w:bookmarkStart w:id="561" w:name="_Toc529882670"/>
      <w:bookmarkStart w:id="562" w:name="_Toc529883078"/>
      <w:bookmarkStart w:id="563" w:name="_Toc529883704"/>
      <w:bookmarkStart w:id="564" w:name="_Toc529885214"/>
      <w:bookmarkStart w:id="565" w:name="_Toc529890222"/>
      <w:bookmarkStart w:id="566" w:name="_Toc5097409"/>
      <w:bookmarkStart w:id="567" w:name="_Toc5103657"/>
      <w:bookmarkStart w:id="568" w:name="_Toc5103752"/>
      <w:bookmarkStart w:id="569" w:name="_Toc5103856"/>
      <w:bookmarkStart w:id="570" w:name="_Toc5103939"/>
      <w:bookmarkStart w:id="571" w:name="_Toc5104022"/>
      <w:bookmarkStart w:id="572" w:name="_Toc5104105"/>
      <w:bookmarkStart w:id="573" w:name="_Toc5104188"/>
      <w:bookmarkStart w:id="574" w:name="_Toc5104271"/>
      <w:bookmarkStart w:id="575" w:name="_Toc17726114"/>
      <w:bookmarkStart w:id="576" w:name="_Toc21081496"/>
      <w:bookmarkStart w:id="577" w:name="_Toc21081589"/>
      <w:bookmarkStart w:id="578" w:name="_Toc62482825"/>
      <w:bookmarkStart w:id="579" w:name="_Toc62483660"/>
      <w:bookmarkStart w:id="580" w:name="_Toc62483753"/>
      <w:bookmarkStart w:id="581" w:name="_Toc62483846"/>
      <w:bookmarkStart w:id="582" w:name="_Toc62483939"/>
      <w:bookmarkStart w:id="583" w:name="_Toc94709814"/>
      <w:bookmarkStart w:id="584" w:name="_Toc9471022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98CD84D" w14:textId="5980E912"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585" w:name="_Toc482977945"/>
      <w:bookmarkStart w:id="586" w:name="_Toc515549298"/>
      <w:bookmarkStart w:id="587" w:name="_Toc515549692"/>
      <w:bookmarkStart w:id="588" w:name="_Toc520127154"/>
      <w:bookmarkStart w:id="589" w:name="_Toc529890223"/>
      <w:bookmarkStart w:id="590" w:name="_Toc62483940"/>
      <w:bookmarkStart w:id="591" w:name="_Toc94710227"/>
      <w:r w:rsidRPr="00CD459A">
        <w:rPr>
          <w:rFonts w:ascii="Verdana" w:hAnsi="Verdana" w:cs="Arial"/>
          <w:b/>
          <w:bCs/>
          <w:color w:val="auto"/>
          <w:sz w:val="22"/>
          <w:szCs w:val="22"/>
          <w:lang w:val="es-ES_tradnl"/>
        </w:rPr>
        <w:t xml:space="preserve">6.2 </w:t>
      </w:r>
      <w:r w:rsidR="007C7EF4" w:rsidRPr="00CD459A">
        <w:rPr>
          <w:rFonts w:ascii="Verdana" w:hAnsi="Verdana" w:cs="Arial"/>
          <w:b/>
          <w:bCs/>
          <w:color w:val="auto"/>
          <w:sz w:val="22"/>
          <w:szCs w:val="22"/>
          <w:lang w:val="es-ES_tradnl"/>
        </w:rPr>
        <w:t>OBJETIVOS DE LA INFORMACIÓN FINANCIERA</w:t>
      </w:r>
      <w:bookmarkEnd w:id="585"/>
      <w:bookmarkEnd w:id="586"/>
      <w:bookmarkEnd w:id="587"/>
      <w:bookmarkEnd w:id="588"/>
      <w:bookmarkEnd w:id="589"/>
      <w:bookmarkEnd w:id="590"/>
      <w:bookmarkEnd w:id="591"/>
    </w:p>
    <w:p w14:paraId="1B52DBD0" w14:textId="77777777" w:rsidR="007C7EF4" w:rsidRPr="00CD459A" w:rsidRDefault="007C7EF4" w:rsidP="007C7EF4">
      <w:pPr>
        <w:jc w:val="both"/>
        <w:rPr>
          <w:rFonts w:ascii="Verdana" w:hAnsi="Verdana" w:cs="Arial"/>
          <w:lang w:val="es-ES_tradnl"/>
        </w:rPr>
      </w:pPr>
    </w:p>
    <w:p w14:paraId="065BB331" w14:textId="2466E82F" w:rsidR="007C7EF4" w:rsidRPr="00CD459A" w:rsidRDefault="007C7EF4" w:rsidP="007C7EF4">
      <w:pPr>
        <w:jc w:val="both"/>
        <w:rPr>
          <w:rFonts w:ascii="Verdana" w:hAnsi="Verdana" w:cs="Arial"/>
        </w:rPr>
      </w:pPr>
      <w:r w:rsidRPr="00CD459A">
        <w:rPr>
          <w:rFonts w:ascii="Verdana" w:hAnsi="Verdana" w:cs="Arial"/>
        </w:rPr>
        <w:t>Los objetivos de la información financiera buscan que esta sea útil, a partir de la satisfacción de las necesidades de sus usuarios. En ese sentido, los objetivos de la información financiera de las entidades de gobierno son: rendición de cuentas, toma de decisiones y control.</w:t>
      </w:r>
    </w:p>
    <w:p w14:paraId="276A7383" w14:textId="08B25D13" w:rsidR="007C7EF4" w:rsidRPr="00CD459A" w:rsidRDefault="007C7EF4" w:rsidP="007C7EF4">
      <w:pPr>
        <w:jc w:val="both"/>
        <w:rPr>
          <w:rFonts w:ascii="Verdana" w:hAnsi="Verdana" w:cs="Arial"/>
        </w:rPr>
      </w:pPr>
      <w:r w:rsidRPr="00CD459A">
        <w:rPr>
          <w:rFonts w:ascii="Verdana" w:hAnsi="Verdana" w:cs="Arial"/>
        </w:rPr>
        <w:t>El objetivo de rendición de cuentas implica que la información financiera sirva a los gestores públicos para suministrar información a los destinatarios de los servicios y a quienes proveen los recursos, sobre el uso y gestión de estos y el cumplimiento de las disposiciones legales vigentes que regulan la actividad de la entidad.</w:t>
      </w:r>
    </w:p>
    <w:p w14:paraId="1C937F90" w14:textId="3DA95E4C" w:rsidR="007C7EF4" w:rsidRPr="00CD459A" w:rsidRDefault="007C7EF4" w:rsidP="007C7EF4">
      <w:pPr>
        <w:jc w:val="both"/>
        <w:rPr>
          <w:rFonts w:ascii="Verdana" w:hAnsi="Verdana" w:cs="Arial"/>
        </w:rPr>
      </w:pPr>
      <w:r w:rsidRPr="00CD459A">
        <w:rPr>
          <w:rFonts w:ascii="Verdana" w:hAnsi="Verdana" w:cs="Arial"/>
        </w:rPr>
        <w:t>El objetivo de toma de decisiones implica que la información financiera sirve al Ministerio para la gestión eficiente de sus recursos y a los usuarios externos para la definición de la política pública, la asignación de recursos y el otorgamiento de financiación.</w:t>
      </w:r>
    </w:p>
    <w:p w14:paraId="21EE823D" w14:textId="4C95A99D" w:rsidR="007C7EF4" w:rsidRPr="00CD459A" w:rsidRDefault="007C7EF4" w:rsidP="00CD459A">
      <w:pPr>
        <w:jc w:val="both"/>
        <w:rPr>
          <w:rFonts w:ascii="Verdana" w:hAnsi="Verdana" w:cs="Arial"/>
        </w:rPr>
      </w:pPr>
      <w:r w:rsidRPr="00CD459A">
        <w:rPr>
          <w:rFonts w:ascii="Verdana" w:hAnsi="Verdana" w:cs="Arial"/>
        </w:rPr>
        <w:t>El objetivo de control implica que la información financiera sirve para el ejercicio del control en dos niveles: interno y externo. A nivel interno, el control se ejerce mediante el sistema de control interno y a nivel externo, a través de diferentes instancias tales como la ciudadanía, las corporaciones públicas, el Ministerio Público y los órganos de control, inspección y vigilancia.</w:t>
      </w:r>
      <w:r w:rsidRPr="00CD459A">
        <w:rPr>
          <w:rFonts w:ascii="Verdana" w:hAnsi="Verdana" w:cs="Arial"/>
          <w:lang w:val="es-ES_tradnl" w:eastAsia="es-CO"/>
        </w:rPr>
        <w:t xml:space="preserve">                                                                                                                                                                                                                                                                                                                                                                                                                                                                                                                                                                                                                                                                                                                                                                                                                                                                                                                                                                                                                                </w:t>
      </w:r>
    </w:p>
    <w:p w14:paraId="5607293D" w14:textId="77777777"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Asimismo, de acuerdo con lo establecido en el Marco Normativo para Entidades de Gobierno expedido por la CGN, la información financiera contribuye a obtener información relacionada con:</w:t>
      </w:r>
    </w:p>
    <w:p w14:paraId="6BC5E326" w14:textId="77777777" w:rsidR="007C7EF4" w:rsidRPr="00CD459A" w:rsidRDefault="007C7EF4" w:rsidP="007C7EF4">
      <w:pPr>
        <w:mirrorIndents/>
        <w:jc w:val="both"/>
        <w:rPr>
          <w:rFonts w:ascii="Verdana" w:hAnsi="Verdana" w:cs="Arial"/>
          <w:lang w:val="es-ES_tradnl" w:eastAsia="es-CO"/>
        </w:rPr>
      </w:pPr>
    </w:p>
    <w:p w14:paraId="21A8086A"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medida en que la administración ha cumplido con su responsabilidad de gestionar y salvaguardar los recursos de la entidad;</w:t>
      </w:r>
    </w:p>
    <w:p w14:paraId="46579BA8"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capacidad que tiene la entidad para continuar financiando sus actividades y cumplir sus objetivos operativos en el futuro;</w:t>
      </w:r>
    </w:p>
    <w:p w14:paraId="29FB4B02"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medida en que los recursos están disponibles para mantener las actividades futuras de prestación de servicios y los cambios, que se presenten durante el periodo contable, en el valor y composición de los recursos y en los derechos sobre éstos;</w:t>
      </w:r>
    </w:p>
    <w:p w14:paraId="28795070"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Los importes de los flujos de efectivo futuros necesarios para pagar los intereses y reembolsar derechos existentes sobre los recursos de entidad;</w:t>
      </w:r>
    </w:p>
    <w:p w14:paraId="510FA1D1"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Los costos de la prestación de servicios y su financiación a través de impuestos, cargos a usuarios, contribuciones y transferencias, o por medio de endeudamiento de la entidad;</w:t>
      </w:r>
    </w:p>
    <w:p w14:paraId="5FBFB38E"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determinación de la situación del endeudamiento y la capacidad de pago de la entidad;</w:t>
      </w:r>
    </w:p>
    <w:p w14:paraId="58582640"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liquidez y grado de solvencia de la entidad;</w:t>
      </w:r>
    </w:p>
    <w:p w14:paraId="48C05305"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forma en que la entidad obtuvo y utilizó el efectivo durante el periodo;</w:t>
      </w:r>
    </w:p>
    <w:p w14:paraId="153DC4A1"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El cumplimiento, por parte de la entidad, de los mandatos de gasto expresados en términos de flujos de efectivo y de los flujos de efectivo necesarios para lograr los niveles de prestación de servicios previstos;</w:t>
      </w:r>
    </w:p>
    <w:p w14:paraId="7DAD17D8"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El origen de las variaciones en las partidas patrimoniales; y</w:t>
      </w:r>
    </w:p>
    <w:p w14:paraId="7478C4FB" w14:textId="77777777" w:rsidR="007C7EF4" w:rsidRPr="00CD459A" w:rsidRDefault="007C7EF4" w:rsidP="00AB3D96">
      <w:pPr>
        <w:pStyle w:val="Prrafodelista"/>
        <w:numPr>
          <w:ilvl w:val="0"/>
          <w:numId w:val="4"/>
        </w:numPr>
        <w:spacing w:after="0" w:line="240" w:lineRule="auto"/>
        <w:ind w:left="709" w:hanging="709"/>
        <w:mirrorIndents/>
        <w:jc w:val="both"/>
        <w:rPr>
          <w:rFonts w:ascii="Verdana" w:hAnsi="Verdana" w:cs="Arial"/>
          <w:lang w:val="es-ES_tradnl" w:eastAsia="es-CO"/>
        </w:rPr>
      </w:pPr>
      <w:r w:rsidRPr="00CD459A">
        <w:rPr>
          <w:rFonts w:ascii="Verdana" w:hAnsi="Verdana" w:cs="Arial"/>
          <w:lang w:val="es-ES_tradnl" w:eastAsia="es-CO"/>
        </w:rPr>
        <w:t>La capacidad de la entidad para proveer bienes y prestar servicios a corto, mediano y largo plazo.</w:t>
      </w:r>
    </w:p>
    <w:p w14:paraId="5829D9C7" w14:textId="77777777" w:rsidR="007C7EF4" w:rsidRPr="00CD459A" w:rsidRDefault="007C7EF4" w:rsidP="007C7EF4">
      <w:pPr>
        <w:mirrorIndents/>
        <w:jc w:val="both"/>
        <w:rPr>
          <w:rFonts w:ascii="Verdana" w:hAnsi="Verdana" w:cs="Arial"/>
          <w:lang w:val="es-ES_tradnl" w:eastAsia="es-CO"/>
        </w:rPr>
      </w:pPr>
    </w:p>
    <w:p w14:paraId="5894863A" w14:textId="07F63C65"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592" w:name="_Toc482977946"/>
      <w:bookmarkStart w:id="593" w:name="_Toc515549299"/>
      <w:bookmarkStart w:id="594" w:name="_Toc515549693"/>
      <w:bookmarkStart w:id="595" w:name="_Toc520127155"/>
      <w:bookmarkStart w:id="596" w:name="_Toc529890224"/>
      <w:bookmarkStart w:id="597" w:name="_Toc62483941"/>
      <w:bookmarkStart w:id="598" w:name="_Toc94710228"/>
      <w:r w:rsidRPr="00CD459A">
        <w:rPr>
          <w:rFonts w:ascii="Verdana" w:hAnsi="Verdana" w:cs="Arial"/>
          <w:b/>
          <w:bCs/>
          <w:color w:val="auto"/>
          <w:sz w:val="22"/>
          <w:szCs w:val="22"/>
          <w:lang w:val="es-ES_tradnl"/>
        </w:rPr>
        <w:t xml:space="preserve">6.3 </w:t>
      </w:r>
      <w:r w:rsidR="007C7EF4" w:rsidRPr="00CD459A">
        <w:rPr>
          <w:rFonts w:ascii="Verdana" w:hAnsi="Verdana" w:cs="Arial"/>
          <w:b/>
          <w:bCs/>
          <w:color w:val="auto"/>
          <w:sz w:val="22"/>
          <w:szCs w:val="22"/>
          <w:lang w:val="es-ES_tradnl"/>
        </w:rPr>
        <w:t xml:space="preserve">CARACTERÍSTICAS CUALITATIVAS DE LA INFORMACIÓN </w:t>
      </w:r>
      <w:r w:rsidRPr="00CD459A">
        <w:rPr>
          <w:rFonts w:ascii="Verdana" w:hAnsi="Verdana" w:cs="Arial"/>
          <w:b/>
          <w:bCs/>
          <w:color w:val="auto"/>
          <w:sz w:val="22"/>
          <w:szCs w:val="22"/>
          <w:lang w:val="es-ES_tradnl"/>
        </w:rPr>
        <w:t xml:space="preserve">  </w:t>
      </w:r>
      <w:r w:rsidR="007C7EF4" w:rsidRPr="00CD459A">
        <w:rPr>
          <w:rFonts w:ascii="Verdana" w:hAnsi="Verdana" w:cs="Arial"/>
          <w:b/>
          <w:bCs/>
          <w:color w:val="auto"/>
          <w:sz w:val="22"/>
          <w:szCs w:val="22"/>
          <w:lang w:val="es-ES_tradnl"/>
        </w:rPr>
        <w:t>FINANCIERA</w:t>
      </w:r>
      <w:bookmarkEnd w:id="592"/>
      <w:bookmarkEnd w:id="593"/>
      <w:bookmarkEnd w:id="594"/>
      <w:bookmarkEnd w:id="595"/>
      <w:bookmarkEnd w:id="596"/>
      <w:bookmarkEnd w:id="597"/>
      <w:bookmarkEnd w:id="598"/>
    </w:p>
    <w:p w14:paraId="54EE3E3A" w14:textId="77777777" w:rsidR="007C7EF4" w:rsidRPr="00CD459A" w:rsidRDefault="007C7EF4" w:rsidP="007C7EF4">
      <w:pPr>
        <w:jc w:val="both"/>
        <w:rPr>
          <w:rFonts w:ascii="Verdana" w:hAnsi="Verdana" w:cs="Arial"/>
          <w:lang w:val="es-ES_tradnl"/>
        </w:rPr>
      </w:pPr>
    </w:p>
    <w:p w14:paraId="7D419F0D" w14:textId="0C77AD69" w:rsidR="007C7EF4" w:rsidRPr="00CD459A" w:rsidRDefault="007C7EF4" w:rsidP="00CD459A">
      <w:pPr>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De acuerdo con lo establecido en el Marco Conceptual para la Preparación y Presentación de Información Financiera para Entidades de Gobierno emitido por la Contaduría General de la Nación, las características cualitativas de la información financiera son los atributos que esta debe tener para que sea útil a los usuarios; es decir, para que contribuya con la Rendición de Cuentas, la Toma de Decisiones y el Control. Estas se dividen en características fundamentales y de mejora.</w:t>
      </w:r>
    </w:p>
    <w:p w14:paraId="597F9E8C" w14:textId="39C4659D"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599" w:name="_Toc515549300"/>
      <w:bookmarkStart w:id="600" w:name="_Toc515549694"/>
      <w:bookmarkStart w:id="601" w:name="_Toc520127156"/>
      <w:bookmarkStart w:id="602" w:name="_Toc529890225"/>
      <w:bookmarkStart w:id="603" w:name="_Toc62483942"/>
      <w:bookmarkStart w:id="604" w:name="_Toc94710229"/>
      <w:r w:rsidRPr="00CD459A">
        <w:rPr>
          <w:rFonts w:ascii="Verdana" w:hAnsi="Verdana" w:cs="Arial"/>
          <w:color w:val="auto"/>
          <w:sz w:val="22"/>
          <w:szCs w:val="22"/>
          <w:lang w:val="es-ES_tradnl"/>
        </w:rPr>
        <w:t xml:space="preserve">6.3.1 </w:t>
      </w:r>
      <w:r w:rsidR="007C7EF4" w:rsidRPr="00CD459A">
        <w:rPr>
          <w:rFonts w:ascii="Verdana" w:hAnsi="Verdana" w:cs="Arial"/>
          <w:color w:val="auto"/>
          <w:sz w:val="22"/>
          <w:szCs w:val="22"/>
          <w:lang w:val="es-ES_tradnl"/>
        </w:rPr>
        <w:t>Características fundamentales</w:t>
      </w:r>
      <w:bookmarkEnd w:id="599"/>
      <w:bookmarkEnd w:id="600"/>
      <w:bookmarkEnd w:id="601"/>
      <w:bookmarkEnd w:id="602"/>
      <w:bookmarkEnd w:id="603"/>
      <w:bookmarkEnd w:id="604"/>
    </w:p>
    <w:p w14:paraId="0FF23F33" w14:textId="77777777" w:rsidR="007C7EF4" w:rsidRPr="00CD459A" w:rsidRDefault="007C7EF4" w:rsidP="007C7EF4">
      <w:pPr>
        <w:mirrorIndents/>
        <w:jc w:val="both"/>
        <w:rPr>
          <w:rFonts w:ascii="Verdana" w:hAnsi="Verdana" w:cs="Arial"/>
          <w:bCs/>
          <w:lang w:val="es-ES_tradnl"/>
        </w:rPr>
      </w:pPr>
    </w:p>
    <w:p w14:paraId="53689BDB" w14:textId="0741C666" w:rsidR="007C7EF4" w:rsidRPr="00CD459A" w:rsidRDefault="007C7EF4" w:rsidP="007C7EF4">
      <w:pPr>
        <w:mirrorIndents/>
        <w:jc w:val="both"/>
        <w:rPr>
          <w:rFonts w:ascii="Verdana" w:hAnsi="Verdana" w:cs="Arial"/>
          <w:bCs/>
          <w:lang w:val="es-ES_tradnl"/>
        </w:rPr>
      </w:pPr>
      <w:r w:rsidRPr="00CD459A">
        <w:rPr>
          <w:rFonts w:ascii="Verdana" w:hAnsi="Verdana" w:cs="Arial"/>
          <w:bCs/>
          <w:lang w:val="es-ES_tradnl"/>
        </w:rPr>
        <w:t xml:space="preserve">Las características fundamentales son aquellas que la información financiera debe cumplir necesariamente para que sea útil a sus usuarios. Se consideran características fundamentales de la información financiera, las siguientes: Relevancia y Representación Fiel. </w:t>
      </w:r>
    </w:p>
    <w:p w14:paraId="22CC7D70" w14:textId="77777777" w:rsidR="00CD459A" w:rsidRPr="00CD459A" w:rsidRDefault="00CD459A" w:rsidP="007C7EF4">
      <w:pPr>
        <w:mirrorIndents/>
        <w:jc w:val="both"/>
        <w:rPr>
          <w:rFonts w:ascii="Verdana" w:hAnsi="Verdana" w:cs="Arial"/>
          <w:bCs/>
          <w:lang w:val="es-ES_tradnl"/>
        </w:rPr>
      </w:pPr>
    </w:p>
    <w:p w14:paraId="6F300542" w14:textId="3323A9E9" w:rsidR="007C7EF4" w:rsidRPr="00CD459A" w:rsidRDefault="00CD459A" w:rsidP="007C7EF4">
      <w:pPr>
        <w:pStyle w:val="Ttulo4"/>
        <w:numPr>
          <w:ilvl w:val="3"/>
          <w:numId w:val="0"/>
        </w:numPr>
        <w:ind w:left="864" w:hanging="864"/>
        <w:jc w:val="both"/>
        <w:rPr>
          <w:rFonts w:ascii="Verdana" w:hAnsi="Verdana" w:cs="Arial"/>
          <w:b w:val="0"/>
          <w:sz w:val="22"/>
          <w:szCs w:val="22"/>
          <w:lang w:val="es-ES_tradnl"/>
        </w:rPr>
      </w:pPr>
      <w:r w:rsidRPr="00CD459A">
        <w:rPr>
          <w:rFonts w:ascii="Verdana" w:hAnsi="Verdana" w:cs="Arial"/>
          <w:b w:val="0"/>
          <w:sz w:val="22"/>
          <w:szCs w:val="22"/>
          <w:lang w:val="es-ES_tradnl"/>
        </w:rPr>
        <w:t xml:space="preserve">6.3.1.1 </w:t>
      </w:r>
      <w:r w:rsidR="007C7EF4" w:rsidRPr="00CD459A">
        <w:rPr>
          <w:rFonts w:ascii="Verdana" w:hAnsi="Verdana" w:cs="Arial"/>
          <w:b w:val="0"/>
          <w:sz w:val="22"/>
          <w:szCs w:val="22"/>
          <w:lang w:val="es-ES_tradnl"/>
        </w:rPr>
        <w:t>Relevancia</w:t>
      </w:r>
    </w:p>
    <w:p w14:paraId="2046B9FA" w14:textId="77777777" w:rsidR="007C7EF4" w:rsidRPr="00CD459A" w:rsidRDefault="007C7EF4" w:rsidP="007C7EF4">
      <w:pPr>
        <w:mirrorIndents/>
        <w:jc w:val="both"/>
        <w:rPr>
          <w:rFonts w:ascii="Verdana" w:hAnsi="Verdana" w:cs="Arial"/>
          <w:bCs/>
          <w:lang w:val="es-ES_tradnl"/>
        </w:rPr>
      </w:pPr>
    </w:p>
    <w:p w14:paraId="060B1CDE" w14:textId="19F5004A" w:rsidR="007C7EF4" w:rsidRPr="00CD459A" w:rsidRDefault="007C7EF4" w:rsidP="007C7EF4">
      <w:pPr>
        <w:jc w:val="both"/>
        <w:rPr>
          <w:rFonts w:ascii="Verdana" w:hAnsi="Verdana" w:cs="Arial"/>
        </w:rPr>
      </w:pPr>
      <w:r w:rsidRPr="00CD459A">
        <w:rPr>
          <w:rFonts w:ascii="Verdana" w:hAnsi="Verdana" w:cs="Arial"/>
        </w:rPr>
        <w:t>La información financiera es relevante si es capaz de influir en las decisiones que han de tomar sus usuarios. La información financiera influye en los usuarios si es material y si tiene valor predictivo, valor confirmatorio, o ambos.</w:t>
      </w:r>
    </w:p>
    <w:p w14:paraId="2535E313" w14:textId="6718DF1D" w:rsidR="007C7EF4" w:rsidRPr="00CD459A" w:rsidRDefault="007C7EF4" w:rsidP="00CD459A">
      <w:pPr>
        <w:jc w:val="both"/>
        <w:rPr>
          <w:rFonts w:ascii="Verdana" w:hAnsi="Verdana" w:cs="Arial"/>
        </w:rPr>
      </w:pPr>
      <w:r w:rsidRPr="00CD459A">
        <w:rPr>
          <w:rFonts w:ascii="Verdana" w:hAnsi="Verdana" w:cs="Arial"/>
        </w:rPr>
        <w:t>Para efecto de la materialidad se considerarán los siguientes criterios:</w:t>
      </w:r>
    </w:p>
    <w:p w14:paraId="1F5509F9" w14:textId="77777777" w:rsidR="007C7EF4" w:rsidRPr="00CD459A" w:rsidRDefault="007C7EF4" w:rsidP="00AB3D96">
      <w:pPr>
        <w:numPr>
          <w:ilvl w:val="0"/>
          <w:numId w:val="11"/>
        </w:numPr>
        <w:spacing w:after="0" w:line="240" w:lineRule="auto"/>
        <w:jc w:val="both"/>
        <w:rPr>
          <w:rFonts w:ascii="Verdana" w:hAnsi="Verdana" w:cs="Arial"/>
        </w:rPr>
      </w:pPr>
      <w:r w:rsidRPr="00CD459A">
        <w:rPr>
          <w:rFonts w:ascii="Verdana" w:hAnsi="Verdana" w:cs="Arial"/>
        </w:rPr>
        <w:t xml:space="preserve">Para efectos de revelación, una transacción, hecho u operación es material cuando, debido a su cuantía o naturaleza, su conocimiento o desconocimiento, considerando las circunstancias que lo rodean, incide en las decisiones que puedan tomar o en las evaluaciones que puedan realizar los usuarios de la información contable pública. </w:t>
      </w:r>
    </w:p>
    <w:p w14:paraId="1C6C6688" w14:textId="77777777" w:rsidR="007C7EF4" w:rsidRPr="00CD459A" w:rsidRDefault="007C7EF4" w:rsidP="007C7EF4">
      <w:pPr>
        <w:jc w:val="both"/>
        <w:rPr>
          <w:rFonts w:ascii="Verdana" w:hAnsi="Verdana" w:cs="Arial"/>
        </w:rPr>
      </w:pPr>
    </w:p>
    <w:p w14:paraId="05A6376B" w14:textId="77777777" w:rsidR="007C7EF4" w:rsidRPr="00CD459A" w:rsidRDefault="007C7EF4" w:rsidP="00AB3D96">
      <w:pPr>
        <w:numPr>
          <w:ilvl w:val="0"/>
          <w:numId w:val="11"/>
        </w:numPr>
        <w:spacing w:after="0" w:line="240" w:lineRule="auto"/>
        <w:jc w:val="both"/>
        <w:rPr>
          <w:rFonts w:ascii="Verdana" w:hAnsi="Verdana" w:cs="Arial"/>
          <w:lang w:val="es-ES_tradnl" w:eastAsia="es-CO"/>
        </w:rPr>
      </w:pPr>
      <w:r w:rsidRPr="00CD459A">
        <w:rPr>
          <w:rFonts w:ascii="Verdana" w:hAnsi="Verdana" w:cs="Arial"/>
        </w:rPr>
        <w:t>En la preparación y presentación de los estados, informes y reportes contables, la materialidad de la cuantía se determina con relación, entre otros, al activo total, al activo corriente y no corriente, al pasivo total, al pasivo corriente y no corriente, al patrimonio o a los resultados del ejercicio, según corresponda. En general, debe tenerse en cuenta la participación de la partida o hecho, reconocidos o no, con respecto a un determinado total, llámese éste clase, grupo, cuenta o cualquiera de los antes citados.</w:t>
      </w:r>
    </w:p>
    <w:p w14:paraId="54A8A656" w14:textId="77777777" w:rsidR="007C7EF4" w:rsidRPr="00CD459A" w:rsidRDefault="007C7EF4" w:rsidP="007C7EF4">
      <w:pPr>
        <w:mirrorIndents/>
        <w:jc w:val="both"/>
        <w:rPr>
          <w:rFonts w:ascii="Verdana" w:hAnsi="Verdana" w:cs="Arial"/>
          <w:lang w:val="es-ES_tradnl" w:eastAsia="es-CO"/>
        </w:rPr>
      </w:pPr>
    </w:p>
    <w:p w14:paraId="6502205C" w14:textId="09E04E49" w:rsidR="007C7EF4" w:rsidRPr="00CD459A" w:rsidRDefault="00CD459A" w:rsidP="007C7EF4">
      <w:pPr>
        <w:pStyle w:val="Ttulo4"/>
        <w:numPr>
          <w:ilvl w:val="3"/>
          <w:numId w:val="0"/>
        </w:numPr>
        <w:ind w:left="864" w:hanging="864"/>
        <w:jc w:val="both"/>
        <w:rPr>
          <w:rFonts w:ascii="Verdana" w:hAnsi="Verdana" w:cs="Arial"/>
          <w:b w:val="0"/>
          <w:sz w:val="22"/>
          <w:szCs w:val="22"/>
          <w:lang w:val="es-ES_tradnl"/>
        </w:rPr>
      </w:pPr>
      <w:r w:rsidRPr="00CD459A">
        <w:rPr>
          <w:rFonts w:ascii="Verdana" w:hAnsi="Verdana" w:cs="Arial"/>
          <w:b w:val="0"/>
          <w:sz w:val="22"/>
          <w:szCs w:val="22"/>
          <w:lang w:val="es-ES_tradnl"/>
        </w:rPr>
        <w:t xml:space="preserve">6.3.1.2 </w:t>
      </w:r>
      <w:r w:rsidR="007C7EF4" w:rsidRPr="00CD459A">
        <w:rPr>
          <w:rFonts w:ascii="Verdana" w:hAnsi="Verdana" w:cs="Arial"/>
          <w:b w:val="0"/>
          <w:sz w:val="22"/>
          <w:szCs w:val="22"/>
          <w:lang w:val="es-ES_tradnl"/>
        </w:rPr>
        <w:t>Representación fiel</w:t>
      </w:r>
    </w:p>
    <w:p w14:paraId="1DA05193" w14:textId="77777777" w:rsidR="007C7EF4" w:rsidRPr="00CD459A" w:rsidRDefault="007C7EF4" w:rsidP="007C7EF4">
      <w:pPr>
        <w:mirrorIndents/>
        <w:jc w:val="both"/>
        <w:rPr>
          <w:rFonts w:ascii="Verdana" w:hAnsi="Verdana" w:cs="Arial"/>
          <w:lang w:val="es-ES_tradnl" w:eastAsia="es-CO"/>
        </w:rPr>
      </w:pPr>
    </w:p>
    <w:p w14:paraId="2ED7D499" w14:textId="7D280EC9"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Para ser útil, la información financiera debe representar fielmente los hechos económicos. La representación fiel se alcanza cuando la descripción del fenómeno es completa, neutral y libre de error significativo.</w:t>
      </w:r>
    </w:p>
    <w:p w14:paraId="0F1BDCE1" w14:textId="04CC296D"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Una descripción completa, incluye toda la información necesaria para que un usuario comprenda el hecho que está siendo representado, y todas las Descripciones y explicaciones pertinentes.</w:t>
      </w:r>
    </w:p>
    <w:p w14:paraId="716A674A" w14:textId="275DE1C9"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Una descripción neutral, no tiene sesgo en la selección o presentación de la información financiera ni de ningún otro tipo; tampoco está ponderada, enfatizada, atenuada o manipulada para incrementar la probabilidad de que la información financiera se reciba de forma favorable o adversa por los usuarios. Sin embargo, información neutral no significa información sin propósito o influencia sobre el comportamiento de los usuarios, sino que es útil y, por tanto, es por definición, capaz de influir en las decisiones de los usuarios.</w:t>
      </w:r>
    </w:p>
    <w:p w14:paraId="75300D05" w14:textId="57ABB5C8"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Una descripción libre de error significativo, quiere decir que no hay errores u omisiones que sean materiales, de forma individual o colectiva, en la descripción del hecho económico y que el proceso utilizado para producir la información presentada se ha seleccionado y aplicado sin errores. En este contexto, libre de errores no significa exacto en todos los aspectos.</w:t>
      </w:r>
    </w:p>
    <w:p w14:paraId="25954C88" w14:textId="7169AAB8"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Dado que, para ser útil, la información debe ser relevante y representar fielmente aquello que pretende representar, ni una representación fiel de un hecho irrelevante ni una representación no fidedigna de un hecho relevante ayudan a los usuarios a tomar decisiones adecuadas.</w:t>
      </w:r>
    </w:p>
    <w:p w14:paraId="63A358B1" w14:textId="77777777" w:rsidR="00CD459A" w:rsidRPr="00CD459A" w:rsidRDefault="00CD459A" w:rsidP="007C7EF4">
      <w:pPr>
        <w:mirrorIndents/>
        <w:jc w:val="both"/>
        <w:rPr>
          <w:rFonts w:ascii="Verdana" w:hAnsi="Verdana" w:cs="Arial"/>
          <w:lang w:val="es-ES_tradnl" w:eastAsia="es-CO"/>
        </w:rPr>
      </w:pPr>
    </w:p>
    <w:p w14:paraId="6BA5D093" w14:textId="46EF3787"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05" w:name="_Toc482977948"/>
      <w:bookmarkStart w:id="606" w:name="_Toc515549301"/>
      <w:bookmarkStart w:id="607" w:name="_Toc515549695"/>
      <w:bookmarkStart w:id="608" w:name="_Toc520127157"/>
      <w:bookmarkStart w:id="609" w:name="_Toc529890226"/>
      <w:bookmarkStart w:id="610" w:name="_Toc62483943"/>
      <w:bookmarkStart w:id="611" w:name="_Toc94710230"/>
      <w:r w:rsidRPr="00CD459A">
        <w:rPr>
          <w:rFonts w:ascii="Verdana" w:hAnsi="Verdana" w:cs="Arial"/>
          <w:color w:val="auto"/>
          <w:sz w:val="22"/>
          <w:szCs w:val="22"/>
          <w:lang w:val="es-ES_tradnl"/>
        </w:rPr>
        <w:t xml:space="preserve">6.3.2 </w:t>
      </w:r>
      <w:r w:rsidR="007C7EF4" w:rsidRPr="00CD459A">
        <w:rPr>
          <w:rFonts w:ascii="Verdana" w:hAnsi="Verdana" w:cs="Arial"/>
          <w:color w:val="auto"/>
          <w:sz w:val="22"/>
          <w:szCs w:val="22"/>
          <w:lang w:val="es-ES_tradnl"/>
        </w:rPr>
        <w:t>Características de Mejora</w:t>
      </w:r>
      <w:bookmarkEnd w:id="605"/>
      <w:bookmarkEnd w:id="606"/>
      <w:bookmarkEnd w:id="607"/>
      <w:bookmarkEnd w:id="608"/>
      <w:bookmarkEnd w:id="609"/>
      <w:bookmarkEnd w:id="610"/>
      <w:bookmarkEnd w:id="611"/>
    </w:p>
    <w:p w14:paraId="533F8911" w14:textId="77777777" w:rsidR="007C7EF4" w:rsidRPr="00CD459A" w:rsidRDefault="007C7EF4" w:rsidP="007C7EF4">
      <w:pPr>
        <w:ind w:left="360"/>
        <w:jc w:val="both"/>
        <w:rPr>
          <w:rFonts w:ascii="Verdana" w:hAnsi="Verdana" w:cs="Arial"/>
          <w:lang w:val="es-ES_tradnl"/>
        </w:rPr>
      </w:pPr>
    </w:p>
    <w:p w14:paraId="477A4025" w14:textId="77777777" w:rsidR="007C7EF4" w:rsidRPr="00CD459A" w:rsidRDefault="007C7EF4" w:rsidP="007C7EF4">
      <w:pPr>
        <w:mirrorIndents/>
        <w:jc w:val="both"/>
        <w:rPr>
          <w:rFonts w:ascii="Verdana" w:hAnsi="Verdana" w:cs="Arial"/>
          <w:lang w:val="es-ES_tradnl" w:eastAsia="es-CO"/>
        </w:rPr>
      </w:pPr>
      <w:r w:rsidRPr="00CD459A">
        <w:rPr>
          <w:rFonts w:ascii="Verdana" w:hAnsi="Verdana" w:cs="Arial"/>
          <w:lang w:val="es-ES_tradnl" w:eastAsia="es-CO"/>
        </w:rPr>
        <w:t>Las características de mejora son aquellas que, sin ser indispensables para que la información financiera sea útil, incrementan la utilidad de dicha información. Se consideran características de mejora de la información financiera, las siguientes: Verificabilidad, Oportunidad, Comprensibilidad y Comparabilidad.</w:t>
      </w:r>
    </w:p>
    <w:p w14:paraId="37FBA5A8" w14:textId="77777777" w:rsidR="007C7EF4" w:rsidRPr="00CD459A" w:rsidRDefault="007C7EF4" w:rsidP="007C7EF4">
      <w:pPr>
        <w:jc w:val="both"/>
        <w:rPr>
          <w:rFonts w:ascii="Verdana" w:hAnsi="Verdana" w:cs="Arial"/>
        </w:rPr>
      </w:pPr>
    </w:p>
    <w:p w14:paraId="73878BDB" w14:textId="57E5DF1B" w:rsidR="007C7EF4" w:rsidRPr="00CD459A" w:rsidRDefault="007C7EF4" w:rsidP="00CD459A">
      <w:pPr>
        <w:jc w:val="both"/>
        <w:rPr>
          <w:rFonts w:ascii="Verdana" w:hAnsi="Verdana" w:cs="Arial"/>
        </w:rPr>
      </w:pPr>
      <w:r w:rsidRPr="00CD459A">
        <w:rPr>
          <w:rFonts w:ascii="Verdana" w:hAnsi="Verdana" w:cs="Arial"/>
        </w:rPr>
        <w:t>En general, las características cualitativas que mejoran la utilidad de la información financiera deben maximizarse en la medida de lo posible. Sin embargo, estas individualmente o en grupo, no pueden hacer que la información sea útil si es irrelevante y no representa fielmente los hechos económicos del Ministerio.</w:t>
      </w:r>
    </w:p>
    <w:p w14:paraId="426A6B66" w14:textId="28ACF3E3" w:rsidR="007C7EF4" w:rsidRPr="00CD459A" w:rsidRDefault="007C7EF4" w:rsidP="007C7EF4">
      <w:pPr>
        <w:mirrorIndents/>
        <w:jc w:val="both"/>
        <w:rPr>
          <w:rFonts w:ascii="Verdana" w:hAnsi="Verdana" w:cs="Arial"/>
          <w:lang w:val="es-ES_tradnl" w:eastAsia="es-CO"/>
        </w:rPr>
      </w:pPr>
      <w:r w:rsidRPr="00CD459A">
        <w:rPr>
          <w:rFonts w:ascii="Verdana" w:hAnsi="Verdana" w:cs="Arial"/>
        </w:rPr>
        <w:t>La aplicación de las características cualitativas que mejoran la utilidad de la información financiera es un proceso que no sigue un orden determinado. Algunas veces, una característica cualitativa puede haber tenido que disminuirse para maximizar otra característica. Por ejemplo, una reducción temporal de la comparabilidad que resulte de la aplicación prospectiva de una norma nueva puede justificarse por el mejoramiento de la relevancia o la representación fiel de un hecho a largo plazo; así, la información adecuada a revelar puede compensar, parcialmente, la falta de comparabilidad.</w:t>
      </w:r>
    </w:p>
    <w:p w14:paraId="5C75D0CF" w14:textId="77777777" w:rsidR="00CD459A" w:rsidRPr="00CD459A" w:rsidRDefault="00CD459A" w:rsidP="007C7EF4">
      <w:pPr>
        <w:mirrorIndents/>
        <w:jc w:val="both"/>
        <w:rPr>
          <w:rFonts w:ascii="Verdana" w:hAnsi="Verdana" w:cs="Arial"/>
          <w:lang w:val="es-ES_tradnl" w:eastAsia="es-CO"/>
        </w:rPr>
      </w:pPr>
    </w:p>
    <w:p w14:paraId="2DC6D6F1" w14:textId="5186C813" w:rsidR="007C7EF4" w:rsidRPr="00CD459A" w:rsidRDefault="00CD459A" w:rsidP="00CD459A">
      <w:pPr>
        <w:pStyle w:val="Ttulo4"/>
        <w:numPr>
          <w:ilvl w:val="3"/>
          <w:numId w:val="0"/>
        </w:numPr>
        <w:ind w:left="864" w:hanging="864"/>
        <w:jc w:val="both"/>
        <w:rPr>
          <w:rFonts w:ascii="Verdana" w:hAnsi="Verdana" w:cs="Arial"/>
          <w:b w:val="0"/>
          <w:sz w:val="22"/>
          <w:szCs w:val="22"/>
          <w:lang w:val="es-ES_tradnl" w:eastAsia="es-CO"/>
        </w:rPr>
      </w:pPr>
      <w:r w:rsidRPr="00CD459A">
        <w:rPr>
          <w:rFonts w:ascii="Verdana" w:hAnsi="Verdana" w:cs="Arial"/>
          <w:b w:val="0"/>
          <w:sz w:val="22"/>
          <w:szCs w:val="22"/>
          <w:lang w:val="es-ES_tradnl" w:eastAsia="es-CO"/>
        </w:rPr>
        <w:t xml:space="preserve">6.3.2.1 </w:t>
      </w:r>
      <w:r w:rsidR="007C7EF4" w:rsidRPr="00CD459A">
        <w:rPr>
          <w:rFonts w:ascii="Verdana" w:hAnsi="Verdana" w:cs="Arial"/>
          <w:b w:val="0"/>
          <w:sz w:val="22"/>
          <w:szCs w:val="22"/>
          <w:lang w:val="es-ES_tradnl" w:eastAsia="es-CO"/>
        </w:rPr>
        <w:t>Verificabilidad</w:t>
      </w:r>
    </w:p>
    <w:p w14:paraId="662337A0" w14:textId="77777777" w:rsidR="00CD459A" w:rsidRPr="00CD459A" w:rsidRDefault="00CD459A" w:rsidP="00CD459A">
      <w:pPr>
        <w:rPr>
          <w:lang w:val="es-ES_tradnl" w:eastAsia="es-CO"/>
        </w:rPr>
      </w:pPr>
    </w:p>
    <w:p w14:paraId="253BCB11" w14:textId="2ED87542"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 xml:space="preserve">La verificabilidad ayuda a asegurar a los usuarios, que la información financiera representa fielmente los hechos económicos que pretende representar. </w:t>
      </w:r>
    </w:p>
    <w:p w14:paraId="0A92EA8E" w14:textId="3AB66E73"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Verificabilidad significa que diferentes observadores independientes y debidamente informados podrían alcanzar un acuerdo, aunque no necesariamente completo, sobre la fidelidad de la representación de una descripción particular. Para ser verificable, la información cuantificada no necesita ser una estimación única, también puede verificarse un rango de posibles valores y probabilidades relacionadas.</w:t>
      </w:r>
    </w:p>
    <w:p w14:paraId="5EF2B2E1" w14:textId="03B7FAB0"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verificación puede ser directa o indirecta. Verificación directa significa comprobar un valor u otra representación mediante observación directa como, por ejemplo, cuando se cuenta efectivo. Verificación indirecta significa comprobar las variables de un modelo, fórmulas u otra técnica y recalcular el resultado utilizando la misma metodología como, por ejemplo, cuando se verifica el valor del inventario comprobando las variables (cantidades y costos) y se recalcula el saldo final utilizando una misma suposición de flujo de costo (por ejemplo, el método de primera entrada, primera salida).</w:t>
      </w:r>
    </w:p>
    <w:p w14:paraId="6C46718A" w14:textId="4418DB4C"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Puede suceder que no sea posible verificar algunas explicaciones e información financiera prospectiva hasta un periodo futuro. Por ello, para ayudar a los usuarios a decidir si quieren utilizar esa información, es necesario revelar las hipótesis subyacentes, los métodos de recopilación de la información, y otros factores y circunstancias que la respaldan.</w:t>
      </w:r>
    </w:p>
    <w:p w14:paraId="657EAAB3" w14:textId="02214D63" w:rsidR="007C7EF4" w:rsidRPr="00CD459A" w:rsidRDefault="00CD459A" w:rsidP="007C7EF4">
      <w:pPr>
        <w:pStyle w:val="Ttulo4"/>
        <w:numPr>
          <w:ilvl w:val="3"/>
          <w:numId w:val="0"/>
        </w:numPr>
        <w:ind w:left="864" w:hanging="864"/>
        <w:jc w:val="both"/>
        <w:rPr>
          <w:rFonts w:ascii="Verdana" w:hAnsi="Verdana" w:cs="Arial"/>
          <w:b w:val="0"/>
          <w:sz w:val="22"/>
          <w:szCs w:val="22"/>
          <w:lang w:val="es-ES_tradnl" w:eastAsia="es-CO"/>
        </w:rPr>
      </w:pPr>
      <w:r w:rsidRPr="00CD459A">
        <w:rPr>
          <w:rFonts w:ascii="Verdana" w:hAnsi="Verdana" w:cs="Arial"/>
          <w:b w:val="0"/>
          <w:sz w:val="22"/>
          <w:szCs w:val="22"/>
          <w:lang w:val="es-ES_tradnl" w:eastAsia="es-CO"/>
        </w:rPr>
        <w:t xml:space="preserve">6.3.2.2 </w:t>
      </w:r>
      <w:r w:rsidR="007C7EF4" w:rsidRPr="00CD459A">
        <w:rPr>
          <w:rFonts w:ascii="Verdana" w:hAnsi="Verdana" w:cs="Arial"/>
          <w:b w:val="0"/>
          <w:sz w:val="22"/>
          <w:szCs w:val="22"/>
          <w:lang w:val="es-ES_tradnl" w:eastAsia="es-CO"/>
        </w:rPr>
        <w:t>Oportunidad</w:t>
      </w:r>
    </w:p>
    <w:p w14:paraId="476780B3" w14:textId="77777777" w:rsidR="007C7EF4" w:rsidRPr="00CD459A" w:rsidRDefault="007C7EF4" w:rsidP="007C7EF4">
      <w:pPr>
        <w:mirrorIndents/>
        <w:jc w:val="both"/>
        <w:rPr>
          <w:rFonts w:ascii="Verdana" w:hAnsi="Verdana" w:cs="Arial"/>
          <w:iCs/>
          <w:lang w:val="es-ES_tradnl" w:eastAsia="es-CO"/>
        </w:rPr>
      </w:pPr>
    </w:p>
    <w:p w14:paraId="55FCF128" w14:textId="52A27541"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oportunidad significa tener, a tiempo, información disponible para los usuarios con el fin de que pueda influir en sus decisiones. Cierta información puede continuar siendo oportuna durante bastante tiempo después del cierre del periodo contable porque, por ejemplo, algunos usuarios pueden necesitar identificar y evaluar tendencias, así como analizar información financiera de un periodo anterior.</w:t>
      </w:r>
    </w:p>
    <w:p w14:paraId="68A0AED7" w14:textId="77777777" w:rsidR="00CD459A" w:rsidRPr="00CD459A" w:rsidRDefault="00CD459A" w:rsidP="007C7EF4">
      <w:pPr>
        <w:mirrorIndents/>
        <w:jc w:val="both"/>
        <w:rPr>
          <w:rFonts w:ascii="Verdana" w:hAnsi="Verdana" w:cs="Arial"/>
          <w:iCs/>
          <w:lang w:val="es-ES_tradnl" w:eastAsia="es-CO"/>
        </w:rPr>
      </w:pPr>
    </w:p>
    <w:p w14:paraId="63BC6631" w14:textId="006160BF" w:rsidR="007C7EF4" w:rsidRPr="00CD459A" w:rsidRDefault="00CD459A" w:rsidP="007C7EF4">
      <w:pPr>
        <w:pStyle w:val="Ttulo4"/>
        <w:numPr>
          <w:ilvl w:val="3"/>
          <w:numId w:val="0"/>
        </w:numPr>
        <w:ind w:left="864" w:hanging="864"/>
        <w:jc w:val="both"/>
        <w:rPr>
          <w:rFonts w:ascii="Verdana" w:hAnsi="Verdana" w:cs="Arial"/>
          <w:b w:val="0"/>
          <w:sz w:val="22"/>
          <w:szCs w:val="22"/>
          <w:lang w:val="es-ES_tradnl" w:eastAsia="es-CO"/>
        </w:rPr>
      </w:pPr>
      <w:r w:rsidRPr="00CD459A">
        <w:rPr>
          <w:rFonts w:ascii="Verdana" w:hAnsi="Verdana" w:cs="Arial"/>
          <w:b w:val="0"/>
          <w:sz w:val="22"/>
          <w:szCs w:val="22"/>
          <w:lang w:val="es-ES_tradnl" w:eastAsia="es-CO"/>
        </w:rPr>
        <w:t xml:space="preserve">6.3.2.3 </w:t>
      </w:r>
      <w:r w:rsidR="007C7EF4" w:rsidRPr="00CD459A">
        <w:rPr>
          <w:rFonts w:ascii="Verdana" w:hAnsi="Verdana" w:cs="Arial"/>
          <w:b w:val="0"/>
          <w:sz w:val="22"/>
          <w:szCs w:val="22"/>
          <w:lang w:val="es-ES_tradnl" w:eastAsia="es-CO"/>
        </w:rPr>
        <w:t>Comprensibilidad</w:t>
      </w:r>
    </w:p>
    <w:p w14:paraId="4DA95DC3" w14:textId="77777777" w:rsidR="007C7EF4" w:rsidRPr="00CD459A" w:rsidRDefault="007C7EF4" w:rsidP="007C7EF4">
      <w:pPr>
        <w:mirrorIndents/>
        <w:jc w:val="both"/>
        <w:rPr>
          <w:rFonts w:ascii="Verdana" w:hAnsi="Verdana" w:cs="Arial"/>
          <w:iCs/>
          <w:lang w:val="es-ES_tradnl" w:eastAsia="es-CO"/>
        </w:rPr>
      </w:pPr>
    </w:p>
    <w:p w14:paraId="757ED442" w14:textId="77777777"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comprensibilidad significa que la información está clasificada, caracterizada y presentada de forma clara y concisa.</w:t>
      </w:r>
    </w:p>
    <w:p w14:paraId="1DA1E0B0" w14:textId="77777777"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información financiera se prepara para usuarios que tienen un conocimiento razonable del sector público, las entidades de gobierno y las actividades económicas, quienes revisan y analizan la información con diligencia. No obstante, a veces, incluso usuarios diligentes y bien informados pueden necesitar la ayuda de un asesor para comprender información sobre hechos económicos complejos.</w:t>
      </w:r>
    </w:p>
    <w:p w14:paraId="66358B63" w14:textId="77777777" w:rsidR="007C7EF4" w:rsidRPr="00CD459A" w:rsidRDefault="007C7EF4" w:rsidP="007C7EF4">
      <w:pPr>
        <w:mirrorIndents/>
        <w:jc w:val="both"/>
        <w:rPr>
          <w:rFonts w:ascii="Verdana" w:hAnsi="Verdana" w:cs="Arial"/>
          <w:iCs/>
          <w:lang w:val="es-ES_tradnl" w:eastAsia="es-CO"/>
        </w:rPr>
      </w:pPr>
    </w:p>
    <w:p w14:paraId="121BCA1E" w14:textId="43B53672" w:rsidR="007C7EF4" w:rsidRPr="00CD459A" w:rsidRDefault="00CD459A" w:rsidP="00CD459A">
      <w:pPr>
        <w:pStyle w:val="Ttulo4"/>
        <w:numPr>
          <w:ilvl w:val="3"/>
          <w:numId w:val="0"/>
        </w:numPr>
        <w:ind w:left="864" w:hanging="864"/>
        <w:jc w:val="both"/>
        <w:rPr>
          <w:rFonts w:ascii="Verdana" w:hAnsi="Verdana" w:cs="Arial"/>
          <w:b w:val="0"/>
          <w:sz w:val="22"/>
          <w:szCs w:val="22"/>
          <w:lang w:val="es-ES_tradnl" w:eastAsia="es-CO"/>
        </w:rPr>
      </w:pPr>
      <w:r w:rsidRPr="00CD459A">
        <w:rPr>
          <w:rFonts w:ascii="Verdana" w:hAnsi="Verdana" w:cs="Arial"/>
          <w:b w:val="0"/>
          <w:sz w:val="22"/>
          <w:szCs w:val="22"/>
          <w:lang w:val="es-ES_tradnl" w:eastAsia="es-CO"/>
        </w:rPr>
        <w:t xml:space="preserve">6.3.2.4 </w:t>
      </w:r>
      <w:r w:rsidR="007C7EF4" w:rsidRPr="00CD459A">
        <w:rPr>
          <w:rFonts w:ascii="Verdana" w:hAnsi="Verdana" w:cs="Arial"/>
          <w:b w:val="0"/>
          <w:sz w:val="22"/>
          <w:szCs w:val="22"/>
          <w:lang w:val="es-ES_tradnl" w:eastAsia="es-CO"/>
        </w:rPr>
        <w:t>Comparabilidad</w:t>
      </w:r>
    </w:p>
    <w:p w14:paraId="1673BE52" w14:textId="77777777" w:rsidR="00CD459A" w:rsidRPr="00CD459A" w:rsidRDefault="00CD459A" w:rsidP="00CD459A">
      <w:pPr>
        <w:rPr>
          <w:lang w:val="es-ES_tradnl" w:eastAsia="es-CO"/>
        </w:rPr>
      </w:pPr>
    </w:p>
    <w:p w14:paraId="6EB46450" w14:textId="1EECB451"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comparabilidad es la característica cualitativa que permite a los usuarios identificar y comprender similitudes y diferencias entre partidas. Para que la información financiera sea comparable, elementos similares deben verse parecidos y elementos distintos deben verse diferentes. La comparabilidad de la información financiera no se mejora al mostrar elementos diferentes como similares ni viceversa.</w:t>
      </w:r>
    </w:p>
    <w:p w14:paraId="19794834" w14:textId="77777777"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información es más útil si puede compararse con información de la misma entidad de periodos anteriores y con información similar de otras entidades.</w:t>
      </w:r>
    </w:p>
    <w:p w14:paraId="5CD39F2C" w14:textId="77777777" w:rsidR="007C7EF4" w:rsidRPr="00CD459A" w:rsidRDefault="007C7EF4" w:rsidP="007C7EF4">
      <w:pPr>
        <w:mirrorIndents/>
        <w:jc w:val="both"/>
        <w:rPr>
          <w:rFonts w:ascii="Verdana" w:hAnsi="Verdana" w:cs="Arial"/>
          <w:iCs/>
          <w:lang w:val="es-ES_tradnl" w:eastAsia="es-CO"/>
        </w:rPr>
      </w:pPr>
    </w:p>
    <w:p w14:paraId="3D8E423C" w14:textId="77777777" w:rsidR="007C7EF4" w:rsidRPr="00CD459A" w:rsidRDefault="007C7EF4" w:rsidP="007C7EF4">
      <w:pPr>
        <w:mirrorIndents/>
        <w:jc w:val="both"/>
        <w:rPr>
          <w:rFonts w:ascii="Verdana" w:hAnsi="Verdana" w:cs="Arial"/>
          <w:iCs/>
          <w:lang w:val="es-ES_tradnl" w:eastAsia="es-CO"/>
        </w:rPr>
      </w:pPr>
      <w:r w:rsidRPr="00CD459A">
        <w:rPr>
          <w:rFonts w:ascii="Verdana" w:hAnsi="Verdana" w:cs="Arial"/>
          <w:iCs/>
          <w:lang w:val="es-ES_tradnl" w:eastAsia="es-CO"/>
        </w:rPr>
        <w:t>La aplicación de criterios uniformes contribuye a que la información sea comparable. Sin embargo, cuando un cambio en un criterio mejora la representación fiel, es necesario revelar esta circunstancia de tal manera que permita a los usuarios identificar los efectos producto del cambio y realizar los análisis comparativos correspondientes.</w:t>
      </w:r>
    </w:p>
    <w:p w14:paraId="158FDD2E" w14:textId="77777777" w:rsidR="007C7EF4" w:rsidRPr="00CD459A" w:rsidRDefault="007C7EF4" w:rsidP="007C7EF4">
      <w:pPr>
        <w:jc w:val="both"/>
        <w:rPr>
          <w:rFonts w:ascii="Verdana" w:hAnsi="Verdana" w:cs="Arial"/>
          <w:lang w:val="es-ES_tradnl" w:eastAsia="es-CO"/>
        </w:rPr>
      </w:pPr>
    </w:p>
    <w:p w14:paraId="4B24D7F8" w14:textId="7CCB72CD"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lang w:val="es-ES_tradnl"/>
        </w:rPr>
      </w:pPr>
      <w:bookmarkStart w:id="612" w:name="_Toc482977949"/>
      <w:bookmarkStart w:id="613" w:name="_Toc515549302"/>
      <w:bookmarkStart w:id="614" w:name="_Toc515549696"/>
      <w:bookmarkStart w:id="615" w:name="_Toc520127158"/>
      <w:bookmarkStart w:id="616" w:name="_Toc529890227"/>
      <w:bookmarkStart w:id="617" w:name="_Toc62483944"/>
      <w:bookmarkStart w:id="618" w:name="_Toc94710231"/>
      <w:r w:rsidRPr="00CD459A">
        <w:rPr>
          <w:rFonts w:ascii="Verdana" w:hAnsi="Verdana" w:cs="Arial"/>
          <w:b/>
          <w:bCs/>
          <w:color w:val="auto"/>
          <w:sz w:val="22"/>
          <w:szCs w:val="22"/>
          <w:lang w:val="es-ES_tradnl"/>
        </w:rPr>
        <w:t xml:space="preserve">6.4 </w:t>
      </w:r>
      <w:r w:rsidR="007C7EF4" w:rsidRPr="00CD459A">
        <w:rPr>
          <w:rFonts w:ascii="Verdana" w:hAnsi="Verdana" w:cs="Arial"/>
          <w:b/>
          <w:bCs/>
          <w:color w:val="auto"/>
          <w:sz w:val="22"/>
          <w:szCs w:val="22"/>
          <w:lang w:val="es-ES_tradnl"/>
        </w:rPr>
        <w:t>PRINCIPIOS DE CONTABILIDAD PÚBLICA</w:t>
      </w:r>
      <w:bookmarkEnd w:id="612"/>
      <w:bookmarkEnd w:id="613"/>
      <w:bookmarkEnd w:id="614"/>
      <w:bookmarkEnd w:id="615"/>
      <w:bookmarkEnd w:id="616"/>
      <w:bookmarkEnd w:id="617"/>
      <w:bookmarkEnd w:id="618"/>
    </w:p>
    <w:p w14:paraId="5F7E3004" w14:textId="77777777" w:rsidR="007C7EF4" w:rsidRPr="00CD459A" w:rsidRDefault="007C7EF4" w:rsidP="007C7EF4">
      <w:pPr>
        <w:jc w:val="both"/>
        <w:rPr>
          <w:rFonts w:ascii="Verdana" w:hAnsi="Verdana" w:cs="Arial"/>
          <w:lang w:val="es-ES_tradnl"/>
        </w:rPr>
      </w:pPr>
    </w:p>
    <w:p w14:paraId="62B89898" w14:textId="24000B00" w:rsidR="007C7EF4" w:rsidRPr="00CD459A" w:rsidRDefault="007C7EF4" w:rsidP="00CD459A">
      <w:pPr>
        <w:autoSpaceDE w:val="0"/>
        <w:autoSpaceDN w:val="0"/>
        <w:adjustRightInd w:val="0"/>
        <w:jc w:val="both"/>
        <w:rPr>
          <w:rFonts w:ascii="Verdana" w:hAnsi="Verdana" w:cs="Arial"/>
          <w:iCs/>
          <w:lang w:val="es-ES_tradnl" w:eastAsia="es-CO"/>
        </w:rPr>
      </w:pPr>
      <w:r w:rsidRPr="00CD459A">
        <w:rPr>
          <w:rFonts w:ascii="Verdana" w:hAnsi="Verdana" w:cs="Arial"/>
          <w:iCs/>
          <w:lang w:val="es-ES_tradnl" w:eastAsia="es-CO"/>
        </w:rPr>
        <w:t>La información financiera de las entidades debe ser útil y para que sea útil, debe ser relevante y representar fielmente los hechos económicos. A fin de preparar información financiera que cumpla con estas características cualitativas, las entidades observan pautas básicas o macro-reglas que orientan el proceso contable, las cuales se conocen como principios de contabilidad.</w:t>
      </w:r>
    </w:p>
    <w:p w14:paraId="5EC2FC7F"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Los principios de contabilidad se aplican en las diferentes etapas del proceso contable; por tal razón, hacen referencia a los criterios que se deben tener en cuenta para reconocer, medir, revelar y presentar los hechos económicos en los estados financieros de la entidad. Estos principios son: Entidad en marcha, Devengo, Esencia sobre forma, Asociación, Uniformidad, No compensación y Periodo Contable. </w:t>
      </w:r>
    </w:p>
    <w:p w14:paraId="795D88F2" w14:textId="77777777" w:rsidR="007C7EF4" w:rsidRPr="00CD459A" w:rsidRDefault="007C7EF4" w:rsidP="007C7EF4">
      <w:pPr>
        <w:pStyle w:val="Ttulo3"/>
        <w:ind w:left="720"/>
        <w:jc w:val="both"/>
        <w:rPr>
          <w:rFonts w:ascii="Verdana" w:hAnsi="Verdana" w:cs="Arial"/>
          <w:color w:val="auto"/>
          <w:sz w:val="22"/>
          <w:szCs w:val="22"/>
          <w:lang w:val="es-ES_tradnl"/>
        </w:rPr>
      </w:pPr>
    </w:p>
    <w:p w14:paraId="145BB2F0" w14:textId="06AD0D3E"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19" w:name="_Toc482977950"/>
      <w:bookmarkStart w:id="620" w:name="_Toc515549303"/>
      <w:bookmarkStart w:id="621" w:name="_Toc515549697"/>
      <w:bookmarkStart w:id="622" w:name="_Toc520127159"/>
      <w:bookmarkStart w:id="623" w:name="_Toc529890228"/>
      <w:bookmarkStart w:id="624" w:name="_Toc62483945"/>
      <w:bookmarkStart w:id="625" w:name="_Toc94710232"/>
      <w:r w:rsidRPr="00CD459A">
        <w:rPr>
          <w:rFonts w:ascii="Verdana" w:hAnsi="Verdana" w:cs="Arial"/>
          <w:color w:val="auto"/>
          <w:sz w:val="22"/>
          <w:szCs w:val="22"/>
          <w:lang w:val="es-ES_tradnl"/>
        </w:rPr>
        <w:t xml:space="preserve">6.4.1 </w:t>
      </w:r>
      <w:r w:rsidR="007C7EF4" w:rsidRPr="00CD459A">
        <w:rPr>
          <w:rFonts w:ascii="Verdana" w:hAnsi="Verdana" w:cs="Arial"/>
          <w:color w:val="auto"/>
          <w:sz w:val="22"/>
          <w:szCs w:val="22"/>
          <w:lang w:val="es-ES_tradnl"/>
        </w:rPr>
        <w:t>Entidad en marcha</w:t>
      </w:r>
      <w:bookmarkEnd w:id="619"/>
      <w:bookmarkEnd w:id="620"/>
      <w:bookmarkEnd w:id="621"/>
      <w:bookmarkEnd w:id="622"/>
      <w:bookmarkEnd w:id="623"/>
      <w:bookmarkEnd w:id="624"/>
      <w:bookmarkEnd w:id="625"/>
    </w:p>
    <w:p w14:paraId="1CEC60F4" w14:textId="77777777" w:rsidR="007C7EF4" w:rsidRPr="00CD459A" w:rsidRDefault="007C7EF4" w:rsidP="007C7EF4">
      <w:pPr>
        <w:jc w:val="both"/>
        <w:rPr>
          <w:rFonts w:ascii="Verdana" w:hAnsi="Verdana" w:cs="Arial"/>
          <w:lang w:val="es-ES_tradnl"/>
        </w:rPr>
      </w:pPr>
    </w:p>
    <w:p w14:paraId="33503A39"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Se presume que la actividad de la entidad se llevará a cabo por tiempo indefinido conforme a la ley de creación; por tal razón, la regulación contable no está encaminada a determinar su valor de liquidación. Si por circunstancias exógenas o endógenas se producen situaciones de transformación o liquidación de la entidad, se deben observar los criterios que se definan para tal efecto.</w:t>
      </w:r>
    </w:p>
    <w:p w14:paraId="27D65E6C" w14:textId="77777777" w:rsidR="007C7EF4" w:rsidRPr="00CD459A" w:rsidRDefault="007C7EF4" w:rsidP="007C7EF4">
      <w:pPr>
        <w:jc w:val="both"/>
        <w:rPr>
          <w:rFonts w:ascii="Verdana" w:hAnsi="Verdana" w:cs="Arial"/>
          <w:lang w:val="es-ES_tradnl"/>
        </w:rPr>
      </w:pPr>
    </w:p>
    <w:p w14:paraId="65F1142C" w14:textId="5BB43025"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26" w:name="_Toc482977951"/>
      <w:bookmarkStart w:id="627" w:name="_Toc515549304"/>
      <w:bookmarkStart w:id="628" w:name="_Toc515549698"/>
      <w:bookmarkStart w:id="629" w:name="_Toc520127160"/>
      <w:bookmarkStart w:id="630" w:name="_Toc529890229"/>
      <w:bookmarkStart w:id="631" w:name="_Toc62483946"/>
      <w:bookmarkStart w:id="632" w:name="_Toc94710233"/>
      <w:r w:rsidRPr="00CD459A">
        <w:rPr>
          <w:rFonts w:ascii="Verdana" w:hAnsi="Verdana" w:cs="Arial"/>
          <w:color w:val="auto"/>
          <w:sz w:val="22"/>
          <w:szCs w:val="22"/>
          <w:lang w:val="es-ES_tradnl"/>
        </w:rPr>
        <w:t xml:space="preserve">6.4.2 </w:t>
      </w:r>
      <w:r w:rsidR="007C7EF4" w:rsidRPr="00CD459A">
        <w:rPr>
          <w:rFonts w:ascii="Verdana" w:hAnsi="Verdana" w:cs="Arial"/>
          <w:color w:val="auto"/>
          <w:sz w:val="22"/>
          <w:szCs w:val="22"/>
          <w:lang w:val="es-ES_tradnl"/>
        </w:rPr>
        <w:t>Devengo</w:t>
      </w:r>
      <w:bookmarkEnd w:id="626"/>
      <w:bookmarkEnd w:id="627"/>
      <w:bookmarkEnd w:id="628"/>
      <w:bookmarkEnd w:id="629"/>
      <w:bookmarkEnd w:id="630"/>
      <w:bookmarkEnd w:id="631"/>
      <w:bookmarkEnd w:id="632"/>
    </w:p>
    <w:p w14:paraId="6C9FCC00" w14:textId="77777777" w:rsidR="007C7EF4" w:rsidRPr="00CD459A" w:rsidRDefault="007C7EF4" w:rsidP="007C7EF4">
      <w:pPr>
        <w:jc w:val="both"/>
        <w:rPr>
          <w:rFonts w:ascii="Verdana" w:hAnsi="Verdana" w:cs="Arial"/>
          <w:lang w:val="es-ES_tradnl"/>
        </w:rPr>
      </w:pPr>
    </w:p>
    <w:p w14:paraId="49620B0B"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Los hechos económicos se reconocen en el momento en que suceden, con independencia del instante en que se produce el flujo de efectivo o equivalentes al efectivo que se deriva de éstos, es decir, el reconocimiento se efectúa cuando surgen los derechos y obligaciones, o cuando la transacción u operación originada por el hecho incide en los resultados del periodo.</w:t>
      </w:r>
    </w:p>
    <w:p w14:paraId="514E8654" w14:textId="77777777" w:rsidR="007C7EF4" w:rsidRPr="00CD459A" w:rsidRDefault="007C7EF4" w:rsidP="007C7EF4">
      <w:pPr>
        <w:pStyle w:val="Ttulo5"/>
        <w:ind w:left="1008"/>
        <w:jc w:val="both"/>
        <w:rPr>
          <w:rFonts w:ascii="Verdana" w:hAnsi="Verdana" w:cs="Arial"/>
          <w:b w:val="0"/>
          <w:sz w:val="22"/>
          <w:szCs w:val="22"/>
          <w:lang w:val="es-ES_tradnl"/>
        </w:rPr>
      </w:pPr>
      <w:bookmarkStart w:id="633" w:name="_Toc482977952"/>
      <w:bookmarkStart w:id="634" w:name="_Toc515549305"/>
      <w:bookmarkStart w:id="635" w:name="_Toc515549699"/>
      <w:bookmarkStart w:id="636" w:name="_Toc520127161"/>
    </w:p>
    <w:p w14:paraId="4C841C7B" w14:textId="51D9722B"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37" w:name="_Toc529890230"/>
      <w:bookmarkStart w:id="638" w:name="_Toc62483947"/>
      <w:bookmarkStart w:id="639" w:name="_Toc94710234"/>
      <w:r w:rsidRPr="00CD459A">
        <w:rPr>
          <w:rFonts w:ascii="Verdana" w:hAnsi="Verdana" w:cs="Arial"/>
          <w:color w:val="auto"/>
          <w:sz w:val="22"/>
          <w:szCs w:val="22"/>
          <w:lang w:val="es-ES_tradnl"/>
        </w:rPr>
        <w:t xml:space="preserve">6.4.3 </w:t>
      </w:r>
      <w:r w:rsidR="007C7EF4" w:rsidRPr="00CD459A">
        <w:rPr>
          <w:rFonts w:ascii="Verdana" w:hAnsi="Verdana" w:cs="Arial"/>
          <w:color w:val="auto"/>
          <w:sz w:val="22"/>
          <w:szCs w:val="22"/>
          <w:lang w:val="es-ES_tradnl"/>
        </w:rPr>
        <w:t>Esencia sobre forma</w:t>
      </w:r>
      <w:bookmarkEnd w:id="633"/>
      <w:bookmarkEnd w:id="634"/>
      <w:bookmarkEnd w:id="635"/>
      <w:bookmarkEnd w:id="636"/>
      <w:bookmarkEnd w:id="637"/>
      <w:bookmarkEnd w:id="638"/>
      <w:bookmarkEnd w:id="639"/>
    </w:p>
    <w:p w14:paraId="03457DF8" w14:textId="77777777" w:rsidR="007C7EF4" w:rsidRPr="00CD459A" w:rsidRDefault="007C7EF4" w:rsidP="007C7EF4">
      <w:pPr>
        <w:jc w:val="both"/>
        <w:rPr>
          <w:rFonts w:ascii="Verdana" w:hAnsi="Verdana" w:cs="Arial"/>
          <w:lang w:val="es-ES_tradnl"/>
        </w:rPr>
      </w:pPr>
    </w:p>
    <w:p w14:paraId="1B92C2C5" w14:textId="3B64A953" w:rsidR="007C7EF4" w:rsidRPr="00CD459A" w:rsidRDefault="007C7EF4" w:rsidP="007C7EF4">
      <w:pPr>
        <w:jc w:val="both"/>
        <w:rPr>
          <w:rFonts w:ascii="Verdana" w:hAnsi="Verdana" w:cs="Arial"/>
          <w:lang w:val="es-ES_tradnl"/>
        </w:rPr>
      </w:pPr>
      <w:r w:rsidRPr="00CD459A">
        <w:rPr>
          <w:rFonts w:ascii="Verdana" w:hAnsi="Verdana" w:cs="Arial"/>
          <w:lang w:val="es-ES_tradnl"/>
        </w:rPr>
        <w:t>Las transacciones y otros hechos económicos de las entidades se reconocen atendiendo a su esencia económica, independientemente de la forma legal que da origen a los mismos.</w:t>
      </w:r>
    </w:p>
    <w:p w14:paraId="6846D2E3" w14:textId="77777777" w:rsidR="007C7EF4" w:rsidRPr="00CD459A" w:rsidRDefault="007C7EF4" w:rsidP="007C7EF4">
      <w:pPr>
        <w:pStyle w:val="Ttulo2"/>
        <w:ind w:left="576" w:hanging="576"/>
        <w:rPr>
          <w:rFonts w:ascii="Verdana" w:hAnsi="Verdana" w:cs="Arial"/>
          <w:b/>
          <w:color w:val="auto"/>
          <w:sz w:val="22"/>
          <w:szCs w:val="22"/>
          <w:lang w:val="es-ES_tradnl"/>
        </w:rPr>
      </w:pPr>
    </w:p>
    <w:p w14:paraId="00153EB6" w14:textId="2B2FC8EA"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40" w:name="_Toc482977953"/>
      <w:bookmarkStart w:id="641" w:name="_Toc515549306"/>
      <w:bookmarkStart w:id="642" w:name="_Toc515549700"/>
      <w:bookmarkStart w:id="643" w:name="_Toc520127162"/>
      <w:bookmarkStart w:id="644" w:name="_Toc529890231"/>
      <w:bookmarkStart w:id="645" w:name="_Toc62483948"/>
      <w:bookmarkStart w:id="646" w:name="_Toc94710235"/>
      <w:r w:rsidRPr="00CD459A">
        <w:rPr>
          <w:rFonts w:ascii="Verdana" w:hAnsi="Verdana" w:cs="Arial"/>
          <w:color w:val="auto"/>
          <w:sz w:val="22"/>
          <w:szCs w:val="22"/>
          <w:lang w:val="es-ES_tradnl"/>
        </w:rPr>
        <w:t xml:space="preserve">6.4.4 </w:t>
      </w:r>
      <w:r w:rsidR="007C7EF4" w:rsidRPr="00CD459A">
        <w:rPr>
          <w:rFonts w:ascii="Verdana" w:hAnsi="Verdana" w:cs="Arial"/>
          <w:color w:val="auto"/>
          <w:sz w:val="22"/>
          <w:szCs w:val="22"/>
          <w:lang w:val="es-ES_tradnl"/>
        </w:rPr>
        <w:t>Asociación</w:t>
      </w:r>
      <w:bookmarkEnd w:id="640"/>
      <w:bookmarkEnd w:id="641"/>
      <w:bookmarkEnd w:id="642"/>
      <w:bookmarkEnd w:id="643"/>
      <w:bookmarkEnd w:id="644"/>
      <w:bookmarkEnd w:id="645"/>
      <w:bookmarkEnd w:id="646"/>
    </w:p>
    <w:p w14:paraId="4A138357" w14:textId="77777777" w:rsidR="007C7EF4" w:rsidRPr="00CD459A" w:rsidRDefault="007C7EF4" w:rsidP="007C7EF4">
      <w:pPr>
        <w:jc w:val="both"/>
        <w:rPr>
          <w:rFonts w:ascii="Verdana" w:hAnsi="Verdana" w:cs="Arial"/>
          <w:lang w:val="es-ES_tradnl"/>
        </w:rPr>
      </w:pPr>
    </w:p>
    <w:p w14:paraId="187FAF64" w14:textId="1747C198" w:rsidR="007C7EF4" w:rsidRDefault="007C7EF4" w:rsidP="007C7EF4">
      <w:pPr>
        <w:jc w:val="both"/>
        <w:rPr>
          <w:rFonts w:ascii="Verdana" w:hAnsi="Verdana" w:cs="Arial"/>
          <w:lang w:val="es-ES_tradnl"/>
        </w:rPr>
      </w:pPr>
      <w:r w:rsidRPr="00CD459A">
        <w:rPr>
          <w:rFonts w:ascii="Verdana" w:hAnsi="Verdana" w:cs="Arial"/>
          <w:lang w:val="es-ES_tradnl"/>
        </w:rPr>
        <w:t>El reconocimiento de los ingresos con contraprestación está asociado con los costos y gastos en los que se incurre para producir tales ingresos.</w:t>
      </w:r>
    </w:p>
    <w:p w14:paraId="7CA6A610" w14:textId="77777777" w:rsidR="00CD459A" w:rsidRPr="00CD459A" w:rsidRDefault="00CD459A" w:rsidP="007C7EF4">
      <w:pPr>
        <w:jc w:val="both"/>
        <w:rPr>
          <w:rFonts w:ascii="Verdana" w:hAnsi="Verdana" w:cs="Arial"/>
          <w:lang w:val="es-ES_tradnl"/>
        </w:rPr>
      </w:pPr>
    </w:p>
    <w:p w14:paraId="75784C2B" w14:textId="439CB538"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47" w:name="_Toc482977954"/>
      <w:bookmarkStart w:id="648" w:name="_Toc515549307"/>
      <w:bookmarkStart w:id="649" w:name="_Toc515549701"/>
      <w:bookmarkStart w:id="650" w:name="_Toc520127163"/>
      <w:bookmarkStart w:id="651" w:name="_Toc529890232"/>
      <w:bookmarkStart w:id="652" w:name="_Toc62483949"/>
      <w:bookmarkStart w:id="653" w:name="_Toc94710236"/>
      <w:r>
        <w:rPr>
          <w:rFonts w:ascii="Verdana" w:hAnsi="Verdana" w:cs="Arial"/>
          <w:color w:val="auto"/>
          <w:sz w:val="22"/>
          <w:szCs w:val="22"/>
          <w:lang w:val="es-ES_tradnl"/>
        </w:rPr>
        <w:t xml:space="preserve">6.4.5 </w:t>
      </w:r>
      <w:r w:rsidR="007C7EF4" w:rsidRPr="00CD459A">
        <w:rPr>
          <w:rFonts w:ascii="Verdana" w:hAnsi="Verdana" w:cs="Arial"/>
          <w:color w:val="auto"/>
          <w:sz w:val="22"/>
          <w:szCs w:val="22"/>
          <w:lang w:val="es-ES_tradnl"/>
        </w:rPr>
        <w:t>Uniformidad</w:t>
      </w:r>
      <w:bookmarkEnd w:id="647"/>
      <w:bookmarkEnd w:id="648"/>
      <w:bookmarkEnd w:id="649"/>
      <w:bookmarkEnd w:id="650"/>
      <w:bookmarkEnd w:id="651"/>
      <w:bookmarkEnd w:id="652"/>
      <w:bookmarkEnd w:id="653"/>
    </w:p>
    <w:p w14:paraId="230EFA58" w14:textId="77777777" w:rsidR="007C7EF4" w:rsidRPr="00CD459A" w:rsidRDefault="007C7EF4" w:rsidP="007C7EF4">
      <w:pPr>
        <w:jc w:val="both"/>
        <w:rPr>
          <w:rFonts w:ascii="Verdana" w:hAnsi="Verdana" w:cs="Arial"/>
          <w:lang w:val="es-ES_tradnl"/>
        </w:rPr>
      </w:pPr>
    </w:p>
    <w:p w14:paraId="10A6CB07"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Los criterios de reconocimiento, medición, revelación y presentación se mantienen en el tiempo y se aplican a los elementos de los estados financieros que tienen las mismas características, en tanto no cambien los supuestos que motivaron su elección. Si se justifica un cambio en la aplicación de tales criterios para mejorar la relevancia y la representación fiel, </w:t>
      </w:r>
      <w:r w:rsidRPr="00CD459A">
        <w:rPr>
          <w:rFonts w:ascii="Verdana" w:hAnsi="Verdana" w:cs="Arial"/>
          <w:iCs/>
          <w:lang w:val="es-ES_tradnl" w:eastAsia="es-CO"/>
        </w:rPr>
        <w:t>la entidad debe revelar</w:t>
      </w:r>
      <w:r w:rsidRPr="00CD459A">
        <w:rPr>
          <w:rFonts w:ascii="Verdana" w:hAnsi="Verdana" w:cs="Arial"/>
          <w:lang w:val="es-ES_tradnl"/>
        </w:rPr>
        <w:t xml:space="preserve"> los impactos de dichos cambios, de acuerdo con lo establecido en las Normas.</w:t>
      </w:r>
    </w:p>
    <w:p w14:paraId="69C782D6" w14:textId="77777777" w:rsidR="007C7EF4" w:rsidRPr="00CD459A" w:rsidRDefault="007C7EF4" w:rsidP="007C7EF4">
      <w:pPr>
        <w:jc w:val="both"/>
        <w:rPr>
          <w:rFonts w:ascii="Verdana" w:hAnsi="Verdana" w:cs="Arial"/>
          <w:lang w:val="es-ES_tradnl"/>
        </w:rPr>
      </w:pPr>
    </w:p>
    <w:p w14:paraId="25F34DE5" w14:textId="130F1332"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54" w:name="_Toc482977955"/>
      <w:bookmarkStart w:id="655" w:name="_Toc515549308"/>
      <w:bookmarkStart w:id="656" w:name="_Toc515549702"/>
      <w:bookmarkStart w:id="657" w:name="_Toc520127164"/>
      <w:bookmarkStart w:id="658" w:name="_Toc529890233"/>
      <w:bookmarkStart w:id="659" w:name="_Toc62483950"/>
      <w:bookmarkStart w:id="660" w:name="_Toc94710237"/>
      <w:r>
        <w:rPr>
          <w:rFonts w:ascii="Verdana" w:hAnsi="Verdana" w:cs="Arial"/>
          <w:color w:val="auto"/>
          <w:sz w:val="22"/>
          <w:szCs w:val="22"/>
          <w:lang w:val="es-ES_tradnl"/>
        </w:rPr>
        <w:t xml:space="preserve">6.4.6 </w:t>
      </w:r>
      <w:r w:rsidR="007C7EF4" w:rsidRPr="00CD459A">
        <w:rPr>
          <w:rFonts w:ascii="Verdana" w:hAnsi="Verdana" w:cs="Arial"/>
          <w:color w:val="auto"/>
          <w:sz w:val="22"/>
          <w:szCs w:val="22"/>
          <w:lang w:val="es-ES_tradnl"/>
        </w:rPr>
        <w:t>No compensación</w:t>
      </w:r>
      <w:bookmarkEnd w:id="654"/>
      <w:bookmarkEnd w:id="655"/>
      <w:bookmarkEnd w:id="656"/>
      <w:bookmarkEnd w:id="657"/>
      <w:bookmarkEnd w:id="658"/>
      <w:bookmarkEnd w:id="659"/>
      <w:bookmarkEnd w:id="660"/>
    </w:p>
    <w:p w14:paraId="0200113A" w14:textId="77777777" w:rsidR="007C7EF4" w:rsidRPr="00CD459A" w:rsidRDefault="007C7EF4" w:rsidP="007C7EF4">
      <w:pPr>
        <w:jc w:val="both"/>
        <w:rPr>
          <w:rFonts w:ascii="Verdana" w:hAnsi="Verdana" w:cs="Arial"/>
          <w:lang w:val="es-ES_tradnl"/>
        </w:rPr>
      </w:pPr>
    </w:p>
    <w:p w14:paraId="57A1990A"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No se reconocen ni se presentan partidas netas como efecto de compensar activos y pasivos del estado de situación financiera, o ingresos, gastos y costos que integran el estado de resultados, salvo en aquellos casos en que, de forma excepcional, así se regule.</w:t>
      </w:r>
    </w:p>
    <w:p w14:paraId="6D78EC99" w14:textId="77777777" w:rsidR="007C7EF4" w:rsidRPr="00CD459A" w:rsidRDefault="007C7EF4" w:rsidP="007C7EF4">
      <w:pPr>
        <w:jc w:val="both"/>
        <w:rPr>
          <w:rFonts w:ascii="Verdana" w:hAnsi="Verdana" w:cs="Arial"/>
          <w:lang w:val="es-ES_tradnl"/>
        </w:rPr>
      </w:pPr>
    </w:p>
    <w:p w14:paraId="5319A3DD" w14:textId="34FBA5C7"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lang w:val="es-ES_tradnl"/>
        </w:rPr>
      </w:pPr>
      <w:bookmarkStart w:id="661" w:name="_Toc482977956"/>
      <w:bookmarkStart w:id="662" w:name="_Toc515549309"/>
      <w:bookmarkStart w:id="663" w:name="_Toc515549703"/>
      <w:bookmarkStart w:id="664" w:name="_Toc520127165"/>
      <w:bookmarkStart w:id="665" w:name="_Toc529890234"/>
      <w:bookmarkStart w:id="666" w:name="_Toc62483951"/>
      <w:bookmarkStart w:id="667" w:name="_Toc94710238"/>
      <w:r>
        <w:rPr>
          <w:rFonts w:ascii="Verdana" w:hAnsi="Verdana" w:cs="Arial"/>
          <w:color w:val="auto"/>
          <w:sz w:val="22"/>
          <w:szCs w:val="22"/>
          <w:lang w:val="es-ES_tradnl"/>
        </w:rPr>
        <w:t xml:space="preserve">6.4.7 </w:t>
      </w:r>
      <w:r w:rsidR="007C7EF4" w:rsidRPr="00CD459A">
        <w:rPr>
          <w:rFonts w:ascii="Verdana" w:hAnsi="Verdana" w:cs="Arial"/>
          <w:color w:val="auto"/>
          <w:sz w:val="22"/>
          <w:szCs w:val="22"/>
          <w:lang w:val="es-ES_tradnl"/>
        </w:rPr>
        <w:t>Periodo contable</w:t>
      </w:r>
      <w:bookmarkEnd w:id="661"/>
      <w:bookmarkEnd w:id="662"/>
      <w:bookmarkEnd w:id="663"/>
      <w:bookmarkEnd w:id="664"/>
      <w:bookmarkEnd w:id="665"/>
      <w:bookmarkEnd w:id="666"/>
      <w:bookmarkEnd w:id="667"/>
    </w:p>
    <w:p w14:paraId="19B03FE9" w14:textId="77777777" w:rsidR="007C7EF4" w:rsidRPr="00CD459A" w:rsidRDefault="007C7EF4" w:rsidP="007C7EF4">
      <w:pPr>
        <w:jc w:val="both"/>
        <w:rPr>
          <w:rFonts w:ascii="Verdana" w:hAnsi="Verdana" w:cs="Arial"/>
          <w:lang w:val="es-ES_tradnl"/>
        </w:rPr>
      </w:pPr>
    </w:p>
    <w:p w14:paraId="5A70D482" w14:textId="35138E13" w:rsidR="007C7EF4" w:rsidRPr="00CD459A" w:rsidRDefault="007C7EF4" w:rsidP="007C7EF4">
      <w:pPr>
        <w:jc w:val="both"/>
        <w:rPr>
          <w:rFonts w:ascii="Verdana" w:hAnsi="Verdana" w:cs="Arial"/>
          <w:lang w:val="es-ES_tradnl"/>
        </w:rPr>
      </w:pPr>
      <w:r w:rsidRPr="00CD459A">
        <w:rPr>
          <w:rFonts w:ascii="Verdana" w:hAnsi="Verdana" w:cs="Arial"/>
          <w:lang w:val="es-ES_tradnl"/>
        </w:rPr>
        <w:t>Corresponde al tiempo máximo en que la entidad mide los resultados de sus hechos económicos y el patrimonio bajo su control, efectuando las operaciones contables de ajustes y cierre. El periodo contable es el lapso transcurrido entre el 1 de enero y el 31 de diciembre. No obstante, se pueden solicitar estados financieros intermedios e informes y reportes contables para propósitos especiales, de acuerdo con las necesidades o requerimientos de las autoridades competentes sin que esto signifique, necesariamente, la ejecución de un cierre.</w:t>
      </w:r>
    </w:p>
    <w:p w14:paraId="359554A5"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En caso de conflicto entre los principios contables referidos, prevalecerá el principio que mejor conduzca a la representación fiel y relevancia de la información financiera de la entidad. </w:t>
      </w:r>
    </w:p>
    <w:p w14:paraId="094DA0AD" w14:textId="4A3E2D05"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 </w:t>
      </w:r>
    </w:p>
    <w:p w14:paraId="0219C4F9" w14:textId="7EBADD48" w:rsidR="007C7EF4" w:rsidRPr="00CD459A" w:rsidRDefault="007C7EF4" w:rsidP="00AB3D96">
      <w:pPr>
        <w:pStyle w:val="Ttulo1"/>
        <w:widowControl w:val="0"/>
        <w:numPr>
          <w:ilvl w:val="0"/>
          <w:numId w:val="98"/>
        </w:numPr>
        <w:spacing w:before="0" w:after="0"/>
        <w:jc w:val="both"/>
        <w:rPr>
          <w:rFonts w:ascii="Verdana" w:hAnsi="Verdana"/>
          <w:sz w:val="22"/>
          <w:szCs w:val="22"/>
        </w:rPr>
      </w:pPr>
      <w:bookmarkStart w:id="668" w:name="_Toc62483952"/>
      <w:bookmarkStart w:id="669" w:name="_Toc94710239"/>
      <w:r w:rsidRPr="00CD459A">
        <w:rPr>
          <w:rFonts w:ascii="Verdana" w:hAnsi="Verdana"/>
          <w:sz w:val="22"/>
          <w:szCs w:val="22"/>
        </w:rPr>
        <w:t>PRESENTACIÓN DE LOS ESTADOS FINANCIEROS</w:t>
      </w:r>
      <w:bookmarkEnd w:id="668"/>
      <w:bookmarkEnd w:id="669"/>
    </w:p>
    <w:p w14:paraId="31A639CF" w14:textId="77777777" w:rsidR="007C7EF4" w:rsidRPr="00CD459A" w:rsidRDefault="007C7EF4" w:rsidP="007C7EF4">
      <w:pPr>
        <w:jc w:val="both"/>
        <w:rPr>
          <w:rFonts w:ascii="Verdana" w:hAnsi="Verdana" w:cs="Arial"/>
        </w:rPr>
      </w:pPr>
    </w:p>
    <w:p w14:paraId="51047A44" w14:textId="4260B2B8"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70" w:name="_Toc62483953"/>
      <w:bookmarkStart w:id="671" w:name="_Toc94710240"/>
      <w:r w:rsidRPr="00CD459A">
        <w:rPr>
          <w:rFonts w:ascii="Verdana" w:hAnsi="Verdana" w:cs="Arial"/>
          <w:b/>
          <w:bCs/>
          <w:color w:val="auto"/>
          <w:sz w:val="22"/>
          <w:szCs w:val="22"/>
        </w:rPr>
        <w:t xml:space="preserve">7.1 </w:t>
      </w:r>
      <w:r w:rsidR="007C7EF4" w:rsidRPr="00CD459A">
        <w:rPr>
          <w:rFonts w:ascii="Verdana" w:hAnsi="Verdana" w:cs="Arial"/>
          <w:b/>
          <w:bCs/>
          <w:color w:val="auto"/>
          <w:sz w:val="22"/>
          <w:szCs w:val="22"/>
        </w:rPr>
        <w:t>FINALIDAD DE LOS ESTADOS FINANCIEROS</w:t>
      </w:r>
      <w:bookmarkEnd w:id="670"/>
      <w:bookmarkEnd w:id="671"/>
    </w:p>
    <w:p w14:paraId="33D358CC" w14:textId="77777777" w:rsidR="007C7EF4" w:rsidRPr="00CD459A" w:rsidRDefault="007C7EF4" w:rsidP="007C7EF4">
      <w:pPr>
        <w:tabs>
          <w:tab w:val="left" w:pos="8595"/>
        </w:tabs>
        <w:ind w:left="720"/>
        <w:jc w:val="both"/>
        <w:rPr>
          <w:rFonts w:ascii="Verdana" w:hAnsi="Verdana" w:cs="Arial"/>
        </w:rPr>
      </w:pPr>
      <w:r w:rsidRPr="00CD459A">
        <w:rPr>
          <w:rFonts w:ascii="Verdana" w:hAnsi="Verdana" w:cs="Arial"/>
        </w:rPr>
        <w:tab/>
      </w:r>
    </w:p>
    <w:p w14:paraId="4E0258A2" w14:textId="77777777" w:rsidR="007C7EF4" w:rsidRPr="00CD459A" w:rsidRDefault="007C7EF4" w:rsidP="007C7EF4">
      <w:pPr>
        <w:jc w:val="both"/>
        <w:rPr>
          <w:rFonts w:ascii="Verdana" w:hAnsi="Verdana" w:cs="Arial"/>
        </w:rPr>
      </w:pPr>
      <w:r w:rsidRPr="00CD459A">
        <w:rPr>
          <w:rFonts w:ascii="Verdana" w:hAnsi="Verdana" w:cs="Arial"/>
        </w:rPr>
        <w:t>Los estados financieros constituyen una representación estructurada de la situación financiera, del rendimiento financiero y de los flujos de efectivo de la Entidad. Su objetivo es suministrar información que sea útil a una amplia variedad de usuarios para tomar sus decisiones económicas. Los estados financieros también muestran los resultados de la gestión realizada por los administradores con los recursos del Sistema General de Regalías.</w:t>
      </w:r>
    </w:p>
    <w:p w14:paraId="4B0F267A" w14:textId="77777777" w:rsidR="007C7EF4" w:rsidRPr="00CD459A" w:rsidRDefault="007C7EF4" w:rsidP="007C7EF4">
      <w:pPr>
        <w:jc w:val="both"/>
        <w:rPr>
          <w:rFonts w:ascii="Verdana" w:hAnsi="Verdana" w:cs="Arial"/>
        </w:rPr>
      </w:pPr>
    </w:p>
    <w:p w14:paraId="1F43F82E" w14:textId="77777777" w:rsidR="007C7EF4" w:rsidRPr="00CD459A" w:rsidRDefault="007C7EF4" w:rsidP="007C7EF4">
      <w:pPr>
        <w:jc w:val="both"/>
        <w:rPr>
          <w:rFonts w:ascii="Verdana" w:hAnsi="Verdana" w:cs="Arial"/>
        </w:rPr>
      </w:pPr>
      <w:r w:rsidRPr="00CD459A">
        <w:rPr>
          <w:rFonts w:ascii="Verdana" w:hAnsi="Verdana" w:cs="Arial"/>
        </w:rPr>
        <w:t xml:space="preserve">Para cumplir este objetivo, los estados financieros suministrarán información acerca de los siguientes elementos de la entidad: activos, pasivos, patrimonio, ingresos, gastos y cuentas de orden. </w:t>
      </w:r>
    </w:p>
    <w:p w14:paraId="0D94B8BB" w14:textId="77777777" w:rsidR="007C7EF4" w:rsidRPr="00CD459A" w:rsidRDefault="007C7EF4" w:rsidP="007C7EF4">
      <w:pPr>
        <w:pStyle w:val="Ttulo2"/>
        <w:ind w:left="576"/>
        <w:rPr>
          <w:rFonts w:ascii="Verdana" w:hAnsi="Verdana" w:cs="Arial"/>
          <w:b/>
          <w:color w:val="auto"/>
          <w:sz w:val="22"/>
          <w:szCs w:val="22"/>
        </w:rPr>
      </w:pPr>
    </w:p>
    <w:p w14:paraId="1D7FA45E" w14:textId="7532229E"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72" w:name="_Toc62483954"/>
      <w:bookmarkStart w:id="673" w:name="_Toc94710241"/>
      <w:r>
        <w:rPr>
          <w:rFonts w:ascii="Verdana" w:hAnsi="Verdana" w:cs="Arial"/>
          <w:b/>
          <w:bCs/>
          <w:color w:val="auto"/>
          <w:sz w:val="22"/>
          <w:szCs w:val="22"/>
        </w:rPr>
        <w:t xml:space="preserve">7.2 </w:t>
      </w:r>
      <w:r w:rsidR="007C7EF4" w:rsidRPr="00CD459A">
        <w:rPr>
          <w:rFonts w:ascii="Verdana" w:hAnsi="Verdana" w:cs="Arial"/>
          <w:b/>
          <w:bCs/>
          <w:color w:val="auto"/>
          <w:sz w:val="22"/>
          <w:szCs w:val="22"/>
        </w:rPr>
        <w:t>CONJUNTO COMPLETO DE LOS ESTADOS FINANCIEROS</w:t>
      </w:r>
      <w:bookmarkEnd w:id="672"/>
      <w:bookmarkEnd w:id="673"/>
    </w:p>
    <w:p w14:paraId="44D17A19" w14:textId="77777777" w:rsidR="007C7EF4" w:rsidRPr="00CD459A" w:rsidRDefault="007C7EF4" w:rsidP="007C7EF4">
      <w:pPr>
        <w:ind w:left="360"/>
        <w:jc w:val="both"/>
        <w:rPr>
          <w:rFonts w:ascii="Verdana" w:hAnsi="Verdana" w:cs="Arial"/>
        </w:rPr>
      </w:pPr>
    </w:p>
    <w:p w14:paraId="1B3B5DF4" w14:textId="1F671098" w:rsidR="007C7EF4" w:rsidRPr="00CD459A" w:rsidRDefault="007C7EF4" w:rsidP="007C7EF4">
      <w:pPr>
        <w:jc w:val="both"/>
        <w:rPr>
          <w:rFonts w:ascii="Verdana" w:hAnsi="Verdana" w:cs="Arial"/>
        </w:rPr>
      </w:pPr>
      <w:r w:rsidRPr="00CD459A">
        <w:rPr>
          <w:rFonts w:ascii="Verdana" w:hAnsi="Verdana" w:cs="Arial"/>
        </w:rPr>
        <w:t xml:space="preserve">Un juego completo de estados financieros del Sistema General de Regalías comprende lo siguiente: </w:t>
      </w:r>
    </w:p>
    <w:p w14:paraId="4F901CC7" w14:textId="77777777" w:rsidR="007C7EF4" w:rsidRPr="00CD459A" w:rsidRDefault="007C7EF4" w:rsidP="00AB3D96">
      <w:pPr>
        <w:numPr>
          <w:ilvl w:val="0"/>
          <w:numId w:val="13"/>
        </w:numPr>
        <w:spacing w:after="0" w:line="240" w:lineRule="auto"/>
        <w:jc w:val="both"/>
        <w:rPr>
          <w:rFonts w:ascii="Verdana" w:hAnsi="Verdana" w:cs="Arial"/>
        </w:rPr>
      </w:pPr>
      <w:r w:rsidRPr="00CD459A">
        <w:rPr>
          <w:rFonts w:ascii="Verdana" w:hAnsi="Verdana" w:cs="Arial"/>
        </w:rPr>
        <w:t xml:space="preserve">Estado de situación financiera al final del periodo contable; </w:t>
      </w:r>
    </w:p>
    <w:p w14:paraId="66ACCE8A" w14:textId="77777777" w:rsidR="007C7EF4" w:rsidRPr="00CD459A" w:rsidRDefault="007C7EF4" w:rsidP="00AB3D96">
      <w:pPr>
        <w:numPr>
          <w:ilvl w:val="0"/>
          <w:numId w:val="13"/>
        </w:numPr>
        <w:spacing w:after="0" w:line="240" w:lineRule="auto"/>
        <w:jc w:val="both"/>
        <w:rPr>
          <w:rFonts w:ascii="Verdana" w:hAnsi="Verdana" w:cs="Arial"/>
        </w:rPr>
      </w:pPr>
      <w:r w:rsidRPr="00CD459A">
        <w:rPr>
          <w:rFonts w:ascii="Verdana" w:hAnsi="Verdana" w:cs="Arial"/>
        </w:rPr>
        <w:t xml:space="preserve">Estado del resultado integral del periodo contable; </w:t>
      </w:r>
    </w:p>
    <w:p w14:paraId="0E7C7295" w14:textId="77777777" w:rsidR="007C7EF4" w:rsidRPr="00CD459A" w:rsidRDefault="007C7EF4" w:rsidP="00AB3D96">
      <w:pPr>
        <w:numPr>
          <w:ilvl w:val="0"/>
          <w:numId w:val="13"/>
        </w:numPr>
        <w:spacing w:after="0" w:line="240" w:lineRule="auto"/>
        <w:jc w:val="both"/>
        <w:rPr>
          <w:rFonts w:ascii="Verdana" w:hAnsi="Verdana" w:cs="Arial"/>
        </w:rPr>
      </w:pPr>
      <w:r w:rsidRPr="00CD459A">
        <w:rPr>
          <w:rFonts w:ascii="Verdana" w:hAnsi="Verdana" w:cs="Arial"/>
        </w:rPr>
        <w:t xml:space="preserve">Estado de cambios en el patrimonio del periodo contable; </w:t>
      </w:r>
    </w:p>
    <w:p w14:paraId="57446790" w14:textId="77777777" w:rsidR="007C7EF4" w:rsidRPr="00CD459A" w:rsidRDefault="007C7EF4" w:rsidP="00AB3D96">
      <w:pPr>
        <w:numPr>
          <w:ilvl w:val="0"/>
          <w:numId w:val="13"/>
        </w:numPr>
        <w:spacing w:after="0" w:line="240" w:lineRule="auto"/>
        <w:jc w:val="both"/>
        <w:rPr>
          <w:rFonts w:ascii="Verdana" w:hAnsi="Verdana" w:cs="Arial"/>
        </w:rPr>
      </w:pPr>
      <w:r w:rsidRPr="00CD459A">
        <w:rPr>
          <w:rFonts w:ascii="Verdana" w:hAnsi="Verdana" w:cs="Arial"/>
        </w:rPr>
        <w:t xml:space="preserve">Estado de flujos de efectivo del periodo contable; </w:t>
      </w:r>
    </w:p>
    <w:p w14:paraId="7645EA4F" w14:textId="77777777" w:rsidR="007C7EF4" w:rsidRPr="00CD459A" w:rsidRDefault="007C7EF4" w:rsidP="00AB3D96">
      <w:pPr>
        <w:numPr>
          <w:ilvl w:val="0"/>
          <w:numId w:val="13"/>
        </w:numPr>
        <w:spacing w:after="0" w:line="240" w:lineRule="auto"/>
        <w:jc w:val="both"/>
        <w:rPr>
          <w:rFonts w:ascii="Verdana" w:hAnsi="Verdana" w:cs="Arial"/>
        </w:rPr>
      </w:pPr>
      <w:r w:rsidRPr="00CD459A">
        <w:rPr>
          <w:rFonts w:ascii="Verdana" w:hAnsi="Verdana" w:cs="Arial"/>
        </w:rPr>
        <w:t>Notas a los estados financieros.</w:t>
      </w:r>
    </w:p>
    <w:p w14:paraId="733AC139" w14:textId="77777777" w:rsidR="007C7EF4" w:rsidRPr="00CD459A" w:rsidRDefault="007C7EF4" w:rsidP="007C7EF4">
      <w:pPr>
        <w:jc w:val="both"/>
        <w:rPr>
          <w:rFonts w:ascii="Verdana" w:hAnsi="Verdana" w:cs="Arial"/>
        </w:rPr>
      </w:pPr>
    </w:p>
    <w:p w14:paraId="30139088" w14:textId="0671BDFC"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74" w:name="_Toc62483955"/>
      <w:bookmarkStart w:id="675" w:name="_Toc94710242"/>
      <w:r>
        <w:rPr>
          <w:rFonts w:ascii="Verdana" w:hAnsi="Verdana" w:cs="Arial"/>
          <w:b/>
          <w:bCs/>
          <w:color w:val="auto"/>
          <w:sz w:val="22"/>
          <w:szCs w:val="22"/>
        </w:rPr>
        <w:t xml:space="preserve">7.3 </w:t>
      </w:r>
      <w:r w:rsidR="007C7EF4" w:rsidRPr="00CD459A">
        <w:rPr>
          <w:rFonts w:ascii="Verdana" w:hAnsi="Verdana" w:cs="Arial"/>
          <w:b/>
          <w:bCs/>
          <w:color w:val="auto"/>
          <w:sz w:val="22"/>
          <w:szCs w:val="22"/>
        </w:rPr>
        <w:t>ESTRUCTURA Y CONTENIDO DE LOS ESTADOS FINANCIEROS</w:t>
      </w:r>
      <w:bookmarkEnd w:id="674"/>
      <w:bookmarkEnd w:id="675"/>
    </w:p>
    <w:p w14:paraId="799C8FBD" w14:textId="77777777" w:rsidR="007C7EF4" w:rsidRPr="00CD459A" w:rsidRDefault="007C7EF4" w:rsidP="007C7EF4">
      <w:pPr>
        <w:ind w:left="360"/>
        <w:jc w:val="both"/>
        <w:rPr>
          <w:rFonts w:ascii="Verdana" w:hAnsi="Verdana" w:cs="Arial"/>
        </w:rPr>
      </w:pPr>
    </w:p>
    <w:p w14:paraId="064339CE" w14:textId="374D26A4"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76" w:name="_Toc62483956"/>
      <w:bookmarkStart w:id="677" w:name="_Toc94710243"/>
      <w:r>
        <w:rPr>
          <w:rFonts w:ascii="Verdana" w:hAnsi="Verdana" w:cs="Arial"/>
          <w:color w:val="auto"/>
          <w:sz w:val="22"/>
          <w:szCs w:val="22"/>
        </w:rPr>
        <w:t xml:space="preserve">7.3.1 </w:t>
      </w:r>
      <w:r w:rsidR="007C7EF4" w:rsidRPr="00CD459A">
        <w:rPr>
          <w:rFonts w:ascii="Verdana" w:hAnsi="Verdana" w:cs="Arial"/>
          <w:color w:val="auto"/>
          <w:sz w:val="22"/>
          <w:szCs w:val="22"/>
        </w:rPr>
        <w:t>Identificación de los estados financieros</w:t>
      </w:r>
      <w:bookmarkEnd w:id="676"/>
      <w:bookmarkEnd w:id="677"/>
    </w:p>
    <w:p w14:paraId="5C0D35ED" w14:textId="77777777" w:rsidR="007C7EF4" w:rsidRPr="00CD459A" w:rsidRDefault="007C7EF4" w:rsidP="007C7EF4">
      <w:pPr>
        <w:jc w:val="both"/>
        <w:rPr>
          <w:rFonts w:ascii="Verdana" w:hAnsi="Verdana" w:cs="Arial"/>
        </w:rPr>
      </w:pPr>
    </w:p>
    <w:p w14:paraId="01DAB7BE" w14:textId="77777777" w:rsidR="007C7EF4" w:rsidRPr="00CD459A" w:rsidRDefault="007C7EF4" w:rsidP="007C7EF4">
      <w:pPr>
        <w:jc w:val="both"/>
        <w:rPr>
          <w:rFonts w:ascii="Verdana" w:hAnsi="Verdana" w:cs="Arial"/>
        </w:rPr>
      </w:pPr>
      <w:r w:rsidRPr="00CD459A">
        <w:rPr>
          <w:rFonts w:ascii="Verdana" w:hAnsi="Verdana" w:cs="Arial"/>
        </w:rPr>
        <w:t>La entidad diferenciará cada estado financiero y las notas de cualquier otro tipo de información que presente y destacará la siguiente información: a) el nombre de la entidad; b) la fecha del cierre del periodo al que correspondan los estados financieros o el periodo cubierto; c) la moneda de presentación; d) el grado de redondeo practicado al presentar las cifras de los estados financieros.</w:t>
      </w:r>
    </w:p>
    <w:p w14:paraId="3EC7A40E" w14:textId="77777777" w:rsidR="007C7EF4" w:rsidRPr="00CD459A" w:rsidRDefault="007C7EF4" w:rsidP="007C7EF4">
      <w:pPr>
        <w:pStyle w:val="Ttulo3"/>
        <w:ind w:left="720"/>
        <w:jc w:val="both"/>
        <w:rPr>
          <w:rFonts w:ascii="Verdana" w:hAnsi="Verdana" w:cs="Arial"/>
          <w:color w:val="auto"/>
          <w:sz w:val="22"/>
          <w:szCs w:val="22"/>
        </w:rPr>
      </w:pPr>
    </w:p>
    <w:p w14:paraId="0BED7120" w14:textId="59DBEC00"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78" w:name="_Toc62483957"/>
      <w:bookmarkStart w:id="679" w:name="_Toc94710244"/>
      <w:r>
        <w:rPr>
          <w:rFonts w:ascii="Verdana" w:hAnsi="Verdana" w:cs="Arial"/>
          <w:color w:val="auto"/>
          <w:sz w:val="22"/>
          <w:szCs w:val="22"/>
        </w:rPr>
        <w:t xml:space="preserve">7.3.2 </w:t>
      </w:r>
      <w:r w:rsidR="007C7EF4" w:rsidRPr="00CD459A">
        <w:rPr>
          <w:rFonts w:ascii="Verdana" w:hAnsi="Verdana" w:cs="Arial"/>
          <w:color w:val="auto"/>
          <w:sz w:val="22"/>
          <w:szCs w:val="22"/>
        </w:rPr>
        <w:t>Estado de situación financiera</w:t>
      </w:r>
      <w:bookmarkEnd w:id="678"/>
      <w:bookmarkEnd w:id="679"/>
    </w:p>
    <w:p w14:paraId="2F19A068" w14:textId="77777777" w:rsidR="007C7EF4" w:rsidRPr="00CD459A" w:rsidRDefault="007C7EF4" w:rsidP="007C7EF4">
      <w:pPr>
        <w:jc w:val="both"/>
        <w:rPr>
          <w:rFonts w:ascii="Verdana" w:hAnsi="Verdana" w:cs="Arial"/>
        </w:rPr>
      </w:pPr>
    </w:p>
    <w:p w14:paraId="7342D7A8" w14:textId="64F9978F" w:rsidR="007C7EF4" w:rsidRPr="00CD459A" w:rsidRDefault="007C7EF4" w:rsidP="007C7EF4">
      <w:pPr>
        <w:jc w:val="both"/>
        <w:rPr>
          <w:rFonts w:ascii="Verdana" w:hAnsi="Verdana" w:cs="Arial"/>
        </w:rPr>
      </w:pPr>
      <w:r w:rsidRPr="00CD459A">
        <w:rPr>
          <w:rFonts w:ascii="Verdana" w:hAnsi="Verdana" w:cs="Arial"/>
        </w:rPr>
        <w:t xml:space="preserve">El estado de situación financiera (antes denominado balance general) presenta en forma clasificada, resumida y consistente, la situación financiera de la entidad a una fecha determinada y revela la totalidad de sus bienes, derechos y obligaciones, y la situación del patrimonio, para lo cual el SGR presentará en el estado de situación financiera, de manera ordenada los activos, pasivos y patrimonio, los saldos de las cuentas de orden deudoras contingentes, de control y fiscales, así como los saldos de las cuentas de orden acreedoras contingentes, de control y fiscales. </w:t>
      </w:r>
    </w:p>
    <w:p w14:paraId="66582F0E" w14:textId="77777777" w:rsidR="007C7EF4" w:rsidRPr="00CD459A" w:rsidRDefault="007C7EF4" w:rsidP="007C7EF4">
      <w:pPr>
        <w:jc w:val="both"/>
        <w:rPr>
          <w:rFonts w:ascii="Verdana" w:hAnsi="Verdana" w:cs="Arial"/>
        </w:rPr>
      </w:pPr>
      <w:r w:rsidRPr="00CD459A">
        <w:rPr>
          <w:rFonts w:ascii="Verdana" w:hAnsi="Verdana" w:cs="Arial"/>
        </w:rPr>
        <w:t>En condiciones normales todas las partidas que se reflejan en el activo se esperan realizar dentro de los 12 meses siguientes a la fecha de presentación de los estados financieros, o consumirlo en su ciclo normal de operación (este último es el periodo comprendido entre la adquisición de los activos que entran en el proceso productivo y su realización en efectivo o equivalentes al efectivo), por lo cual se clasifican como activos corrientes.</w:t>
      </w:r>
    </w:p>
    <w:p w14:paraId="601222FF" w14:textId="77777777" w:rsidR="007C7EF4" w:rsidRPr="00CD459A" w:rsidRDefault="007C7EF4" w:rsidP="007C7EF4">
      <w:pPr>
        <w:jc w:val="both"/>
        <w:rPr>
          <w:rFonts w:ascii="Verdana" w:hAnsi="Verdana" w:cs="Arial"/>
        </w:rPr>
      </w:pPr>
    </w:p>
    <w:p w14:paraId="41E6AA89" w14:textId="563847CD" w:rsidR="007C7EF4" w:rsidRPr="00CD459A" w:rsidRDefault="007C7EF4" w:rsidP="00CD459A">
      <w:pPr>
        <w:jc w:val="both"/>
        <w:rPr>
          <w:rFonts w:ascii="Verdana" w:hAnsi="Verdana" w:cs="Arial"/>
        </w:rPr>
      </w:pPr>
      <w:r w:rsidRPr="00CD459A">
        <w:rPr>
          <w:rFonts w:ascii="Verdana" w:hAnsi="Verdana" w:cs="Arial"/>
        </w:rPr>
        <w:t>Los pasivos corrientes del SGR corresponden a los valores distribuidos por el Departamento Nacional de Planeación pendientes de giro a la fecha de corte de los estados financieros, teniendo en cuenta que estas obligaciones se pueden hacer exigibles en cualquier momento se clasifican como pasivos corrientes.</w:t>
      </w:r>
    </w:p>
    <w:p w14:paraId="2C2D5577" w14:textId="77777777" w:rsid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80" w:name="_Toc62483958"/>
      <w:bookmarkStart w:id="681" w:name="_Toc94710245"/>
    </w:p>
    <w:p w14:paraId="49290FE7" w14:textId="16308598"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r>
        <w:rPr>
          <w:rFonts w:ascii="Verdana" w:hAnsi="Verdana" w:cs="Arial"/>
          <w:color w:val="auto"/>
          <w:sz w:val="22"/>
          <w:szCs w:val="22"/>
        </w:rPr>
        <w:t xml:space="preserve">7.3.3 </w:t>
      </w:r>
      <w:r w:rsidR="007C7EF4" w:rsidRPr="00CD459A">
        <w:rPr>
          <w:rFonts w:ascii="Verdana" w:hAnsi="Verdana" w:cs="Arial"/>
          <w:color w:val="auto"/>
          <w:sz w:val="22"/>
          <w:szCs w:val="22"/>
        </w:rPr>
        <w:t>Estado de resultados</w:t>
      </w:r>
      <w:bookmarkEnd w:id="680"/>
      <w:bookmarkEnd w:id="681"/>
    </w:p>
    <w:p w14:paraId="4753EB5B" w14:textId="77777777" w:rsidR="007C7EF4" w:rsidRPr="00CD459A" w:rsidRDefault="007C7EF4" w:rsidP="007C7EF4">
      <w:pPr>
        <w:jc w:val="both"/>
        <w:rPr>
          <w:rFonts w:ascii="Verdana" w:hAnsi="Verdana" w:cs="Arial"/>
        </w:rPr>
      </w:pPr>
    </w:p>
    <w:p w14:paraId="7978E51C" w14:textId="77777777" w:rsidR="007C7EF4" w:rsidRPr="00CD459A" w:rsidRDefault="007C7EF4" w:rsidP="007C7EF4">
      <w:pPr>
        <w:jc w:val="both"/>
        <w:rPr>
          <w:rFonts w:ascii="Verdana" w:hAnsi="Verdana" w:cs="Arial"/>
        </w:rPr>
      </w:pPr>
      <w:r w:rsidRPr="00CD459A">
        <w:rPr>
          <w:rFonts w:ascii="Verdana" w:hAnsi="Verdana" w:cs="Arial"/>
        </w:rPr>
        <w:t>El estado de resultados presenta las partidas de ingresos y gastos del SGR, con base en el flujo de ingresos generados y consumidos durante el periodo, al igual que el déficit o superávit generado con ocasión de la operación del negocio durante el periodo cubierto.</w:t>
      </w:r>
    </w:p>
    <w:p w14:paraId="2DFA6852" w14:textId="77777777" w:rsidR="007C7EF4" w:rsidRPr="00CD459A" w:rsidRDefault="007C7EF4" w:rsidP="007C7EF4">
      <w:pPr>
        <w:jc w:val="both"/>
        <w:rPr>
          <w:rFonts w:ascii="Verdana" w:hAnsi="Verdana" w:cs="Arial"/>
        </w:rPr>
      </w:pPr>
    </w:p>
    <w:p w14:paraId="7A80E315" w14:textId="473EA918"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82" w:name="_Toc62483959"/>
      <w:bookmarkStart w:id="683" w:name="_Toc94710246"/>
      <w:r>
        <w:rPr>
          <w:rFonts w:ascii="Verdana" w:hAnsi="Verdana" w:cs="Arial"/>
          <w:color w:val="auto"/>
          <w:sz w:val="22"/>
          <w:szCs w:val="22"/>
        </w:rPr>
        <w:t xml:space="preserve">7.3.4 </w:t>
      </w:r>
      <w:r w:rsidR="007C7EF4" w:rsidRPr="00CD459A">
        <w:rPr>
          <w:rFonts w:ascii="Verdana" w:hAnsi="Verdana" w:cs="Arial"/>
          <w:color w:val="auto"/>
          <w:sz w:val="22"/>
          <w:szCs w:val="22"/>
        </w:rPr>
        <w:t>Estado de cambios en el patrimonio</w:t>
      </w:r>
      <w:bookmarkEnd w:id="682"/>
      <w:bookmarkEnd w:id="683"/>
    </w:p>
    <w:p w14:paraId="3D949FE7" w14:textId="77777777" w:rsidR="007C7EF4" w:rsidRPr="00CD459A" w:rsidRDefault="007C7EF4" w:rsidP="007C7EF4">
      <w:pPr>
        <w:ind w:left="720"/>
        <w:jc w:val="both"/>
        <w:rPr>
          <w:rFonts w:ascii="Verdana" w:hAnsi="Verdana" w:cs="Arial"/>
        </w:rPr>
      </w:pPr>
    </w:p>
    <w:p w14:paraId="3C7EE6A1" w14:textId="49E9C7F9" w:rsidR="007C7EF4" w:rsidRDefault="007C7EF4" w:rsidP="00CD459A">
      <w:pPr>
        <w:jc w:val="both"/>
        <w:rPr>
          <w:rFonts w:ascii="Verdana" w:hAnsi="Verdana" w:cs="Arial"/>
        </w:rPr>
      </w:pPr>
      <w:r w:rsidRPr="00CD459A">
        <w:rPr>
          <w:rFonts w:ascii="Verdana" w:hAnsi="Verdana" w:cs="Arial"/>
        </w:rPr>
        <w:t>El estado de cambios en el patrimonio presenta las variaciones de las partidas del patrimonio en forma detallada, clasificada y comparativa entre un periodo y otro.</w:t>
      </w:r>
    </w:p>
    <w:p w14:paraId="080E55E6" w14:textId="77777777" w:rsidR="00CD459A" w:rsidRPr="00CD459A" w:rsidRDefault="00CD459A" w:rsidP="00CD459A">
      <w:pPr>
        <w:jc w:val="both"/>
        <w:rPr>
          <w:rFonts w:ascii="Verdana" w:hAnsi="Verdana" w:cs="Arial"/>
        </w:rPr>
      </w:pPr>
    </w:p>
    <w:p w14:paraId="6B628C12" w14:textId="7A326377"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84" w:name="_Toc62483960"/>
      <w:bookmarkStart w:id="685" w:name="_Toc94710247"/>
      <w:r>
        <w:rPr>
          <w:rFonts w:ascii="Verdana" w:hAnsi="Verdana" w:cs="Arial"/>
          <w:color w:val="auto"/>
          <w:sz w:val="22"/>
          <w:szCs w:val="22"/>
        </w:rPr>
        <w:t xml:space="preserve">7.3.5 </w:t>
      </w:r>
      <w:r w:rsidR="007C7EF4" w:rsidRPr="00CD459A">
        <w:rPr>
          <w:rFonts w:ascii="Verdana" w:hAnsi="Verdana" w:cs="Arial"/>
          <w:color w:val="auto"/>
          <w:sz w:val="22"/>
          <w:szCs w:val="22"/>
        </w:rPr>
        <w:t>Estado de flujo de efectivo</w:t>
      </w:r>
      <w:bookmarkEnd w:id="684"/>
      <w:bookmarkEnd w:id="685"/>
      <w:r w:rsidR="007C7EF4" w:rsidRPr="00CD459A">
        <w:rPr>
          <w:rFonts w:ascii="Verdana" w:hAnsi="Verdana" w:cs="Arial"/>
          <w:color w:val="auto"/>
          <w:sz w:val="22"/>
          <w:szCs w:val="22"/>
        </w:rPr>
        <w:t xml:space="preserve">  </w:t>
      </w:r>
    </w:p>
    <w:p w14:paraId="3EA489B9" w14:textId="77777777" w:rsidR="007C7EF4" w:rsidRPr="00CD459A" w:rsidRDefault="007C7EF4" w:rsidP="007C7EF4">
      <w:pPr>
        <w:jc w:val="both"/>
        <w:rPr>
          <w:rFonts w:ascii="Verdana" w:hAnsi="Verdana" w:cs="Arial"/>
        </w:rPr>
      </w:pPr>
    </w:p>
    <w:p w14:paraId="5BBF2F61" w14:textId="08456AB7" w:rsidR="007C7EF4" w:rsidRDefault="007C7EF4" w:rsidP="007C7EF4">
      <w:pPr>
        <w:jc w:val="both"/>
        <w:rPr>
          <w:rFonts w:ascii="Verdana" w:hAnsi="Verdana" w:cs="Arial"/>
        </w:rPr>
      </w:pPr>
      <w:r w:rsidRPr="00CD459A">
        <w:rPr>
          <w:rFonts w:ascii="Verdana" w:hAnsi="Verdana" w:cs="Arial"/>
        </w:rPr>
        <w:t>El estado de flujos de efectivo presenta los fondos provistos y utilizados por la entidad, en desarrollo de sus actividades de operación, inversión y financiación, durante el periodo contable.</w:t>
      </w:r>
    </w:p>
    <w:p w14:paraId="42DBB1C2" w14:textId="77777777" w:rsidR="00CD459A" w:rsidRPr="00CD459A" w:rsidRDefault="00CD459A" w:rsidP="007C7EF4">
      <w:pPr>
        <w:jc w:val="both"/>
        <w:rPr>
          <w:rFonts w:ascii="Verdana" w:hAnsi="Verdana" w:cs="Arial"/>
        </w:rPr>
      </w:pPr>
    </w:p>
    <w:p w14:paraId="508977BA" w14:textId="4592DDB6"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86" w:name="_Toc62483961"/>
      <w:bookmarkStart w:id="687" w:name="_Toc94710248"/>
      <w:r>
        <w:rPr>
          <w:rFonts w:ascii="Verdana" w:hAnsi="Verdana" w:cs="Arial"/>
          <w:color w:val="auto"/>
          <w:sz w:val="22"/>
          <w:szCs w:val="22"/>
        </w:rPr>
        <w:t xml:space="preserve">7.3.6 </w:t>
      </w:r>
      <w:r w:rsidR="007C7EF4" w:rsidRPr="00CD459A">
        <w:rPr>
          <w:rFonts w:ascii="Verdana" w:hAnsi="Verdana" w:cs="Arial"/>
          <w:color w:val="auto"/>
          <w:sz w:val="22"/>
          <w:szCs w:val="22"/>
        </w:rPr>
        <w:t>Notas a los estados financieros o revelaciones</w:t>
      </w:r>
      <w:bookmarkEnd w:id="686"/>
      <w:bookmarkEnd w:id="687"/>
    </w:p>
    <w:p w14:paraId="44C2EC18" w14:textId="77777777" w:rsidR="007C7EF4" w:rsidRPr="00CD459A" w:rsidRDefault="007C7EF4" w:rsidP="007C7EF4">
      <w:pPr>
        <w:jc w:val="both"/>
        <w:rPr>
          <w:rFonts w:ascii="Verdana" w:hAnsi="Verdana" w:cs="Arial"/>
        </w:rPr>
      </w:pPr>
    </w:p>
    <w:p w14:paraId="04E8202D" w14:textId="77777777" w:rsidR="007C7EF4" w:rsidRPr="00CD459A" w:rsidRDefault="007C7EF4" w:rsidP="007C7EF4">
      <w:pPr>
        <w:jc w:val="both"/>
        <w:rPr>
          <w:rFonts w:ascii="Verdana" w:hAnsi="Verdana" w:cs="Arial"/>
        </w:rPr>
      </w:pPr>
      <w:r w:rsidRPr="00CD459A">
        <w:rPr>
          <w:rFonts w:ascii="Verdana" w:hAnsi="Verdana" w:cs="Arial"/>
        </w:rPr>
        <w:t>Las notas son Descripciones o desagregaciones de partidas de los estados financieros presentadas en forma sistemática.</w:t>
      </w:r>
    </w:p>
    <w:p w14:paraId="58270E73" w14:textId="77777777" w:rsidR="007C7EF4" w:rsidRPr="00CD459A" w:rsidRDefault="007C7EF4" w:rsidP="007C7EF4">
      <w:pPr>
        <w:jc w:val="both"/>
        <w:rPr>
          <w:rFonts w:ascii="Verdana" w:hAnsi="Verdana" w:cs="Arial"/>
        </w:rPr>
      </w:pPr>
    </w:p>
    <w:p w14:paraId="6D624324" w14:textId="77777777" w:rsidR="007C7EF4" w:rsidRPr="00CD459A" w:rsidRDefault="007C7EF4" w:rsidP="007C7EF4">
      <w:pPr>
        <w:jc w:val="both"/>
        <w:rPr>
          <w:rFonts w:ascii="Verdana" w:hAnsi="Verdana" w:cs="Arial"/>
        </w:rPr>
      </w:pPr>
      <w:r w:rsidRPr="00CD459A">
        <w:rPr>
          <w:rFonts w:ascii="Verdana" w:hAnsi="Verdana" w:cs="Arial"/>
        </w:rPr>
        <w:t>Las notas a los estados contables del Sistema General de regalías se presentarán de forma sistemática; para tal efecto, referenciará cada partida incluida en los estados financieros con cualquier información relacionada en las notas. La estructura y contenido se realizan de conformidad con lo establecido en la resolución 193 de 2020 expedida por la Contaduría General de la Nación.</w:t>
      </w:r>
    </w:p>
    <w:p w14:paraId="6DB6B576" w14:textId="77777777" w:rsidR="007C7EF4" w:rsidRPr="00CD459A" w:rsidRDefault="007C7EF4" w:rsidP="007C7EF4">
      <w:pPr>
        <w:tabs>
          <w:tab w:val="left" w:pos="7665"/>
        </w:tabs>
        <w:jc w:val="both"/>
        <w:rPr>
          <w:rFonts w:ascii="Verdana" w:hAnsi="Verdana" w:cs="Arial"/>
        </w:rPr>
      </w:pPr>
      <w:r w:rsidRPr="00CD459A">
        <w:rPr>
          <w:rFonts w:ascii="Verdana" w:hAnsi="Verdana" w:cs="Arial"/>
        </w:rPr>
        <w:tab/>
      </w:r>
    </w:p>
    <w:p w14:paraId="155C539A" w14:textId="6FFEDE8F"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88" w:name="_Toc94710249"/>
      <w:r>
        <w:rPr>
          <w:rFonts w:ascii="Verdana" w:hAnsi="Verdana" w:cs="Arial"/>
          <w:b/>
          <w:bCs/>
          <w:color w:val="auto"/>
          <w:sz w:val="22"/>
          <w:szCs w:val="22"/>
        </w:rPr>
        <w:t xml:space="preserve">7.4 </w:t>
      </w:r>
      <w:r w:rsidR="007C7EF4" w:rsidRPr="00CD459A">
        <w:rPr>
          <w:rFonts w:ascii="Verdana" w:hAnsi="Verdana" w:cs="Arial"/>
          <w:b/>
          <w:bCs/>
          <w:color w:val="auto"/>
          <w:sz w:val="22"/>
          <w:szCs w:val="22"/>
        </w:rPr>
        <w:t>INFORMACIÓN PARA REVELAR</w:t>
      </w:r>
      <w:bookmarkEnd w:id="688"/>
    </w:p>
    <w:p w14:paraId="11FFE56F" w14:textId="77777777" w:rsidR="007C7EF4" w:rsidRPr="00CD459A" w:rsidRDefault="007C7EF4" w:rsidP="007C7EF4">
      <w:pPr>
        <w:tabs>
          <w:tab w:val="left" w:pos="5685"/>
          <w:tab w:val="right" w:pos="9991"/>
        </w:tabs>
        <w:jc w:val="both"/>
        <w:rPr>
          <w:rFonts w:ascii="Verdana" w:hAnsi="Verdana" w:cs="Arial"/>
        </w:rPr>
      </w:pPr>
      <w:r w:rsidRPr="00CD459A">
        <w:rPr>
          <w:rFonts w:ascii="Verdana" w:hAnsi="Verdana" w:cs="Arial"/>
        </w:rPr>
        <w:tab/>
      </w:r>
      <w:r w:rsidRPr="00CD459A">
        <w:rPr>
          <w:rFonts w:ascii="Verdana" w:hAnsi="Verdana" w:cs="Arial"/>
        </w:rPr>
        <w:tab/>
      </w:r>
    </w:p>
    <w:p w14:paraId="2111866D" w14:textId="77777777" w:rsidR="007C7EF4" w:rsidRPr="00CD459A" w:rsidRDefault="007C7EF4" w:rsidP="007C7EF4">
      <w:pPr>
        <w:jc w:val="both"/>
        <w:rPr>
          <w:rFonts w:ascii="Verdana" w:hAnsi="Verdana" w:cs="Arial"/>
          <w:bCs/>
        </w:rPr>
      </w:pPr>
      <w:r w:rsidRPr="00CD459A">
        <w:rPr>
          <w:rFonts w:ascii="Verdana" w:hAnsi="Verdana" w:cs="Arial"/>
        </w:rPr>
        <w:t>La entidad presentara las revelaciones en dos partes, las generalidades y la específica de cada subcuenta contables. En la parte de generalidades se revelará la siguiente información</w:t>
      </w:r>
      <w:r w:rsidRPr="00CD459A">
        <w:rPr>
          <w:rFonts w:ascii="Verdana" w:hAnsi="Verdana" w:cs="Arial"/>
          <w:bCs/>
        </w:rPr>
        <w:t>:</w:t>
      </w:r>
    </w:p>
    <w:p w14:paraId="385ED8CB" w14:textId="77777777" w:rsidR="007C7EF4" w:rsidRPr="00CD459A" w:rsidRDefault="007C7EF4" w:rsidP="007C7EF4">
      <w:pPr>
        <w:jc w:val="both"/>
        <w:rPr>
          <w:rFonts w:ascii="Verdana" w:hAnsi="Verdana" w:cs="Arial"/>
          <w:bCs/>
        </w:rPr>
      </w:pPr>
    </w:p>
    <w:p w14:paraId="29AFAB61"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Naturaleza jurídica y funciones de cometido estatal. Para tal efecto indicará su denominación; su naturaleza y régimen jurídico; una descripción de la naturaleza de sus operaciones y de las actividades que desarrolla con el fin de cumplir con las funciones de cometido estatal asignadas.</w:t>
      </w:r>
    </w:p>
    <w:p w14:paraId="534E7497"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La declaración explícita y sin reservas del cumplimiento del Marco Normativo para Entidades de Gobierno, el cual hace parte integral del Régimen de Contabilidad Pública.</w:t>
      </w:r>
    </w:p>
    <w:p w14:paraId="03DBA238"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Las bases de medición utilizadas para la elaboración de los estados financieros y las otras políticas contables utilizadas que sean relevantes para la comprensión de los estados financieros, en el resumen de políticas contables significativas.</w:t>
      </w:r>
    </w:p>
    <w:p w14:paraId="1BEAFE43"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Los juicios, diferentes de aquellos que involucren estimaciones, que la administración haya realizado en el proceso de aplicación de las políticas contables de la entidad y que tengan un efecto significativo sobre los importes reconocidos en los estados financieros, en el resumen de las políticas contables significativas o en otras notas.</w:t>
      </w:r>
    </w:p>
    <w:p w14:paraId="2129017F"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Las limitaciones y deficiencias generales de tipo operativo o administrativo que tienen impacto en el desarrollo normal del proceso contable o en la consistencia y razonabilidad de las cifras.</w:t>
      </w:r>
    </w:p>
    <w:p w14:paraId="3D2B1E9B"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Plan de contingencia que se utilizaría en el evento de no disponer el Sistema de Presupuesto y Giro para el cumplimiento de la obligación de transmitir al CHIP y publicar la información contable.</w:t>
      </w:r>
    </w:p>
    <w:p w14:paraId="3A42065D"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Principales indicadores financieros de liquidez y endeudamiento que ayuden a realizar análisis de la información contable.</w:t>
      </w:r>
    </w:p>
    <w:p w14:paraId="11FAE066" w14:textId="77777777" w:rsidR="007C7EF4" w:rsidRPr="00CD459A" w:rsidRDefault="007C7EF4" w:rsidP="00AB3D96">
      <w:pPr>
        <w:numPr>
          <w:ilvl w:val="0"/>
          <w:numId w:val="12"/>
        </w:numPr>
        <w:spacing w:after="0" w:line="240" w:lineRule="auto"/>
        <w:jc w:val="both"/>
        <w:rPr>
          <w:rFonts w:ascii="Verdana" w:hAnsi="Verdana" w:cs="Arial"/>
        </w:rPr>
      </w:pPr>
      <w:r w:rsidRPr="00CD459A">
        <w:rPr>
          <w:rFonts w:ascii="Verdana" w:hAnsi="Verdana" w:cs="Arial"/>
        </w:rPr>
        <w:t>La relación de los sistemas auxiliares externos que proveen información para el registro de las operaciones en la contabilidad.</w:t>
      </w:r>
    </w:p>
    <w:p w14:paraId="607F6EE3" w14:textId="77777777" w:rsidR="007C7EF4" w:rsidRPr="00CD459A" w:rsidRDefault="007C7EF4" w:rsidP="007C7EF4">
      <w:pPr>
        <w:ind w:left="720"/>
        <w:jc w:val="both"/>
        <w:rPr>
          <w:rFonts w:ascii="Verdana" w:hAnsi="Verdana" w:cs="Arial"/>
        </w:rPr>
      </w:pPr>
    </w:p>
    <w:p w14:paraId="13CDDF65" w14:textId="77777777" w:rsidR="007C7EF4" w:rsidRPr="00CD459A" w:rsidRDefault="007C7EF4" w:rsidP="007C7EF4">
      <w:pPr>
        <w:jc w:val="both"/>
        <w:rPr>
          <w:rFonts w:ascii="Verdana" w:hAnsi="Verdana" w:cs="Arial"/>
        </w:rPr>
      </w:pPr>
      <w:r w:rsidRPr="00CD459A">
        <w:rPr>
          <w:rFonts w:ascii="Verdana" w:hAnsi="Verdana" w:cs="Arial"/>
        </w:rPr>
        <w:t xml:space="preserve">En el aparte de notas específicas se revelará la información adicional que ayude a interpretar cada cifra presentada como saldo en los estados financieros. Cuando sea el caso, desglosando las partidas para un mayor entendimiento y análisis. </w:t>
      </w:r>
    </w:p>
    <w:p w14:paraId="5BFFF2DE" w14:textId="1FACFF66" w:rsidR="007C7EF4" w:rsidRPr="00CD459A" w:rsidRDefault="007C7EF4" w:rsidP="007C7EF4">
      <w:pPr>
        <w:tabs>
          <w:tab w:val="left" w:pos="900"/>
        </w:tabs>
        <w:jc w:val="both"/>
        <w:rPr>
          <w:rFonts w:ascii="Verdana" w:hAnsi="Verdana" w:cs="Arial"/>
        </w:rPr>
      </w:pPr>
    </w:p>
    <w:p w14:paraId="05150BF0" w14:textId="41FBB4F9"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89" w:name="_Toc62483963"/>
      <w:bookmarkStart w:id="690" w:name="_Toc94710250"/>
      <w:r>
        <w:rPr>
          <w:rFonts w:ascii="Verdana" w:hAnsi="Verdana" w:cs="Arial"/>
          <w:b/>
          <w:bCs/>
          <w:color w:val="auto"/>
          <w:sz w:val="22"/>
          <w:szCs w:val="22"/>
        </w:rPr>
        <w:t xml:space="preserve">7.5 </w:t>
      </w:r>
      <w:r w:rsidR="007C7EF4" w:rsidRPr="00CD459A">
        <w:rPr>
          <w:rFonts w:ascii="Verdana" w:hAnsi="Verdana" w:cs="Arial"/>
          <w:b/>
          <w:bCs/>
          <w:color w:val="auto"/>
          <w:sz w:val="22"/>
          <w:szCs w:val="22"/>
        </w:rPr>
        <w:t>CONTROLES APLICABLES A LA ELABORACIÓN DE LOS ESTADOS CONTABLES</w:t>
      </w:r>
      <w:bookmarkEnd w:id="689"/>
      <w:bookmarkEnd w:id="690"/>
    </w:p>
    <w:p w14:paraId="1377AF23" w14:textId="77777777" w:rsidR="007C7EF4" w:rsidRPr="00CD459A" w:rsidRDefault="007C7EF4" w:rsidP="007C7EF4">
      <w:pPr>
        <w:pStyle w:val="Default"/>
        <w:jc w:val="both"/>
        <w:rPr>
          <w:rFonts w:ascii="Verdana" w:hAnsi="Verdana"/>
          <w:color w:val="auto"/>
          <w:sz w:val="22"/>
          <w:szCs w:val="22"/>
        </w:rPr>
      </w:pPr>
    </w:p>
    <w:p w14:paraId="718686FC" w14:textId="769E316B"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91" w:name="_Toc62483964"/>
      <w:bookmarkStart w:id="692" w:name="_Toc94710251"/>
      <w:r>
        <w:rPr>
          <w:rFonts w:ascii="Verdana" w:hAnsi="Verdana" w:cs="Arial"/>
          <w:color w:val="auto"/>
          <w:sz w:val="22"/>
          <w:szCs w:val="22"/>
        </w:rPr>
        <w:t xml:space="preserve">7.5.1 </w:t>
      </w:r>
      <w:r w:rsidR="007C7EF4" w:rsidRPr="00CD459A">
        <w:rPr>
          <w:rFonts w:ascii="Verdana" w:hAnsi="Verdana" w:cs="Arial"/>
          <w:color w:val="auto"/>
          <w:sz w:val="22"/>
          <w:szCs w:val="22"/>
        </w:rPr>
        <w:t>Solicitudes a las áreas y organismos externos para el suministro oportuno de</w:t>
      </w:r>
      <w:r w:rsidR="007C7EF4" w:rsidRPr="00CD459A">
        <w:rPr>
          <w:rFonts w:ascii="Verdana" w:hAnsi="Verdana" w:cs="Arial"/>
          <w:color w:val="auto"/>
          <w:spacing w:val="-3"/>
          <w:sz w:val="22"/>
          <w:szCs w:val="22"/>
        </w:rPr>
        <w:t xml:space="preserve"> </w:t>
      </w:r>
      <w:r w:rsidR="007C7EF4" w:rsidRPr="00CD459A">
        <w:rPr>
          <w:rFonts w:ascii="Verdana" w:hAnsi="Verdana" w:cs="Arial"/>
          <w:color w:val="auto"/>
          <w:sz w:val="22"/>
          <w:szCs w:val="22"/>
        </w:rPr>
        <w:t>información</w:t>
      </w:r>
      <w:bookmarkEnd w:id="691"/>
      <w:bookmarkEnd w:id="692"/>
    </w:p>
    <w:p w14:paraId="50F5775E" w14:textId="77777777" w:rsidR="007C7EF4" w:rsidRPr="00CD459A" w:rsidRDefault="007C7EF4" w:rsidP="007C7EF4">
      <w:pPr>
        <w:pStyle w:val="Default"/>
        <w:ind w:left="1440"/>
        <w:jc w:val="both"/>
        <w:rPr>
          <w:rFonts w:ascii="Verdana" w:hAnsi="Verdana"/>
          <w:color w:val="auto"/>
          <w:sz w:val="22"/>
          <w:szCs w:val="22"/>
        </w:rPr>
      </w:pPr>
    </w:p>
    <w:p w14:paraId="73F13ADF"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El Grupo de Contabilidad revisará permanentemente los requerimientos mínimos y fechas de reporte de la información que deben remitir las dependencias del Ministerio, así como la que deben suministrar los organismos externos, para la preparación y entrega oportuna de los estados financieros del Sistema General de regalías.</w:t>
      </w:r>
    </w:p>
    <w:p w14:paraId="086C622B" w14:textId="77777777" w:rsidR="007C7EF4" w:rsidRPr="00CD459A" w:rsidRDefault="007C7EF4" w:rsidP="007C7EF4">
      <w:pPr>
        <w:pStyle w:val="Default"/>
        <w:jc w:val="both"/>
        <w:rPr>
          <w:rFonts w:ascii="Verdana" w:hAnsi="Verdana"/>
          <w:color w:val="auto"/>
          <w:sz w:val="22"/>
          <w:szCs w:val="22"/>
        </w:rPr>
      </w:pPr>
    </w:p>
    <w:p w14:paraId="40FEC77D"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 xml:space="preserve">Si como resultado de la evaluación se determina que se deben actualizar las dependencias y/o entidades, requerimientos y fechas para el reporte </w:t>
      </w:r>
      <w:r w:rsidRPr="00CD459A">
        <w:rPr>
          <w:rFonts w:ascii="Verdana" w:hAnsi="Verdana"/>
          <w:color w:val="auto"/>
          <w:spacing w:val="4"/>
          <w:sz w:val="22"/>
          <w:szCs w:val="22"/>
        </w:rPr>
        <w:t xml:space="preserve">de </w:t>
      </w:r>
      <w:r w:rsidRPr="00CD459A">
        <w:rPr>
          <w:rFonts w:ascii="Verdana" w:hAnsi="Verdana"/>
          <w:color w:val="auto"/>
          <w:sz w:val="22"/>
          <w:szCs w:val="22"/>
        </w:rPr>
        <w:t>información, el Grupo de Contabilidad, mediante comunicaciones internas o externas (Oficio y/o Correo Electrónico), informa y solicita a los responsables de las dependencias internas u organismos externos los nuevos requisitos que debe cumplir la información contable para la elaboración y presentación de los estados financieros.</w:t>
      </w:r>
    </w:p>
    <w:p w14:paraId="0937E546" w14:textId="77777777" w:rsidR="007C7EF4" w:rsidRPr="00CD459A" w:rsidRDefault="007C7EF4" w:rsidP="007C7EF4">
      <w:pPr>
        <w:pStyle w:val="Default"/>
        <w:jc w:val="both"/>
        <w:rPr>
          <w:rFonts w:ascii="Verdana" w:hAnsi="Verdana"/>
          <w:color w:val="auto"/>
          <w:sz w:val="22"/>
          <w:szCs w:val="22"/>
        </w:rPr>
      </w:pPr>
    </w:p>
    <w:p w14:paraId="40636042" w14:textId="232B24C8" w:rsidR="007C7EF4" w:rsidRPr="00CD459A" w:rsidRDefault="00CD459A" w:rsidP="007C7EF4">
      <w:pPr>
        <w:pStyle w:val="Ttulo3"/>
        <w:keepLines w:val="0"/>
        <w:widowControl w:val="0"/>
        <w:numPr>
          <w:ilvl w:val="2"/>
          <w:numId w:val="0"/>
        </w:numPr>
        <w:spacing w:before="0" w:line="240" w:lineRule="auto"/>
        <w:ind w:left="720" w:hanging="720"/>
        <w:jc w:val="both"/>
        <w:rPr>
          <w:rFonts w:ascii="Verdana" w:hAnsi="Verdana" w:cs="Arial"/>
          <w:color w:val="auto"/>
          <w:sz w:val="22"/>
          <w:szCs w:val="22"/>
        </w:rPr>
      </w:pPr>
      <w:bookmarkStart w:id="693" w:name="_Toc62483965"/>
      <w:bookmarkStart w:id="694" w:name="_Toc94710252"/>
      <w:r>
        <w:rPr>
          <w:rFonts w:ascii="Verdana" w:hAnsi="Verdana" w:cs="Arial"/>
          <w:color w:val="auto"/>
          <w:sz w:val="22"/>
          <w:szCs w:val="22"/>
        </w:rPr>
        <w:t xml:space="preserve">7.5.2 </w:t>
      </w:r>
      <w:r w:rsidR="007C7EF4" w:rsidRPr="00CD459A">
        <w:rPr>
          <w:rFonts w:ascii="Verdana" w:hAnsi="Verdana" w:cs="Arial"/>
          <w:color w:val="auto"/>
          <w:sz w:val="22"/>
          <w:szCs w:val="22"/>
        </w:rPr>
        <w:t>Cierre Contable</w:t>
      </w:r>
      <w:bookmarkEnd w:id="693"/>
      <w:bookmarkEnd w:id="694"/>
    </w:p>
    <w:p w14:paraId="3F7095CC" w14:textId="77777777" w:rsidR="007C7EF4" w:rsidRPr="00CD459A" w:rsidRDefault="007C7EF4" w:rsidP="007C7EF4">
      <w:pPr>
        <w:pStyle w:val="Default"/>
        <w:jc w:val="both"/>
        <w:rPr>
          <w:rFonts w:ascii="Verdana" w:hAnsi="Verdana"/>
          <w:color w:val="auto"/>
          <w:sz w:val="22"/>
          <w:szCs w:val="22"/>
        </w:rPr>
      </w:pPr>
    </w:p>
    <w:p w14:paraId="5D2F9A6F"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El Sistema General de regalías, realizará todas las acciones de orden administrativo que conlleven a un cierre integral de la información producida en todas las áreas que generan hechos financieros, económicos, sociales y ambientales. Lo anterior, dando cumplimiento a lo establecido en el Régimen de Contabilidad Pública, y a lo señalado por la Contaduría General de la Nación en los Instructivos relacionados con los cambios de período contable, el reporte de información a la Contaduría General de la Nación y otros aspectos del proceso contable, que son expedidos</w:t>
      </w:r>
      <w:r w:rsidRPr="00CD459A">
        <w:rPr>
          <w:rFonts w:ascii="Verdana" w:hAnsi="Verdana"/>
          <w:color w:val="auto"/>
          <w:spacing w:val="-8"/>
          <w:sz w:val="22"/>
          <w:szCs w:val="22"/>
        </w:rPr>
        <w:t xml:space="preserve"> </w:t>
      </w:r>
      <w:r w:rsidRPr="00CD459A">
        <w:rPr>
          <w:rFonts w:ascii="Verdana" w:hAnsi="Verdana"/>
          <w:color w:val="auto"/>
          <w:sz w:val="22"/>
          <w:szCs w:val="22"/>
        </w:rPr>
        <w:t>anualmente.</w:t>
      </w:r>
    </w:p>
    <w:p w14:paraId="064480AD" w14:textId="77777777" w:rsidR="007C7EF4" w:rsidRPr="00CD459A" w:rsidRDefault="007C7EF4" w:rsidP="007C7EF4">
      <w:pPr>
        <w:pStyle w:val="Default"/>
        <w:jc w:val="both"/>
        <w:rPr>
          <w:rFonts w:ascii="Verdana" w:hAnsi="Verdana"/>
          <w:color w:val="auto"/>
          <w:sz w:val="22"/>
          <w:szCs w:val="22"/>
        </w:rPr>
      </w:pPr>
    </w:p>
    <w:p w14:paraId="0D0912FD" w14:textId="5E86203E" w:rsidR="007C7EF4" w:rsidRPr="00CD459A" w:rsidRDefault="007C7EF4" w:rsidP="00AB3D96">
      <w:pPr>
        <w:pStyle w:val="Ttulo1"/>
        <w:widowControl w:val="0"/>
        <w:numPr>
          <w:ilvl w:val="0"/>
          <w:numId w:val="98"/>
        </w:numPr>
        <w:spacing w:before="0" w:after="0"/>
        <w:jc w:val="both"/>
        <w:rPr>
          <w:rFonts w:ascii="Verdana" w:hAnsi="Verdana"/>
          <w:sz w:val="22"/>
          <w:szCs w:val="22"/>
        </w:rPr>
      </w:pPr>
      <w:bookmarkStart w:id="695" w:name="_Toc62483966"/>
      <w:bookmarkStart w:id="696" w:name="_Toc94710253"/>
      <w:r w:rsidRPr="00CD459A">
        <w:rPr>
          <w:rFonts w:ascii="Verdana" w:hAnsi="Verdana"/>
          <w:sz w:val="22"/>
          <w:szCs w:val="22"/>
        </w:rPr>
        <w:t>CONCILIACIÓN OPERACIONES RECIPROCAS</w:t>
      </w:r>
      <w:bookmarkEnd w:id="695"/>
      <w:bookmarkEnd w:id="696"/>
    </w:p>
    <w:p w14:paraId="302A38D8" w14:textId="77777777" w:rsidR="007C7EF4" w:rsidRPr="00CD459A" w:rsidRDefault="007C7EF4" w:rsidP="007C7EF4">
      <w:pPr>
        <w:jc w:val="both"/>
        <w:rPr>
          <w:rFonts w:ascii="Verdana" w:hAnsi="Verdana" w:cs="Arial"/>
        </w:rPr>
      </w:pPr>
    </w:p>
    <w:p w14:paraId="75F4F120" w14:textId="5A8FCEA0" w:rsidR="007C7EF4" w:rsidRPr="00CD459A" w:rsidRDefault="007C7EF4" w:rsidP="007C7EF4">
      <w:pPr>
        <w:jc w:val="both"/>
        <w:rPr>
          <w:rFonts w:ascii="Verdana" w:hAnsi="Verdana" w:cs="Arial"/>
        </w:rPr>
      </w:pPr>
      <w:r w:rsidRPr="00CD459A">
        <w:rPr>
          <w:rFonts w:ascii="Verdana" w:hAnsi="Verdana" w:cs="Arial"/>
        </w:rPr>
        <w:t>Con el propósito de socializar el procedimiento definido por la Contaduría General de la Nación para el registro contable del Sistema general de Regalías definido mediante la resolución 470 de 2016 y sus modificaciones, se realizan las siguientes acciones:</w:t>
      </w:r>
    </w:p>
    <w:p w14:paraId="50D357C7" w14:textId="77777777" w:rsidR="007C7EF4" w:rsidRPr="00CD459A" w:rsidRDefault="007C7EF4" w:rsidP="00AB3D96">
      <w:pPr>
        <w:pStyle w:val="Prrafodelista"/>
        <w:numPr>
          <w:ilvl w:val="0"/>
          <w:numId w:val="15"/>
        </w:numPr>
        <w:spacing w:after="0" w:line="240" w:lineRule="auto"/>
        <w:jc w:val="both"/>
        <w:rPr>
          <w:rFonts w:ascii="Verdana" w:hAnsi="Verdana" w:cs="Arial"/>
        </w:rPr>
      </w:pPr>
      <w:r w:rsidRPr="00CD459A">
        <w:rPr>
          <w:rFonts w:ascii="Verdana" w:hAnsi="Verdana" w:cs="Arial"/>
        </w:rPr>
        <w:t>Los primeros días siguientes a la terminación de cada trimestre, en la página WEB del Ministerio de Hacienda se publica un archivo en Excel con corte al trimestre inmediatamente anterior, con la siguiente información:</w:t>
      </w:r>
    </w:p>
    <w:p w14:paraId="56DB5092" w14:textId="77777777" w:rsidR="007C7EF4" w:rsidRPr="00CD459A" w:rsidRDefault="007C7EF4" w:rsidP="00AB3D96">
      <w:pPr>
        <w:pStyle w:val="Prrafodelista"/>
        <w:numPr>
          <w:ilvl w:val="1"/>
          <w:numId w:val="15"/>
        </w:numPr>
        <w:spacing w:after="0" w:line="240" w:lineRule="auto"/>
        <w:jc w:val="both"/>
        <w:rPr>
          <w:rFonts w:ascii="Verdana" w:hAnsi="Verdana" w:cs="Arial"/>
        </w:rPr>
      </w:pPr>
      <w:r w:rsidRPr="00CD459A">
        <w:rPr>
          <w:rFonts w:ascii="Verdana" w:hAnsi="Verdana" w:cs="Arial"/>
        </w:rPr>
        <w:t>Valor que reportar por cada entidad, por cada subcuenta contable.</w:t>
      </w:r>
    </w:p>
    <w:p w14:paraId="36AEE4BB" w14:textId="77777777" w:rsidR="007C7EF4" w:rsidRPr="00CD459A" w:rsidRDefault="007C7EF4" w:rsidP="00AB3D96">
      <w:pPr>
        <w:pStyle w:val="Prrafodelista"/>
        <w:numPr>
          <w:ilvl w:val="1"/>
          <w:numId w:val="15"/>
        </w:numPr>
        <w:spacing w:after="0" w:line="240" w:lineRule="auto"/>
        <w:jc w:val="both"/>
        <w:rPr>
          <w:rFonts w:ascii="Verdana" w:hAnsi="Verdana" w:cs="Arial"/>
        </w:rPr>
      </w:pPr>
      <w:r w:rsidRPr="00CD459A">
        <w:rPr>
          <w:rFonts w:ascii="Verdana" w:hAnsi="Verdana" w:cs="Arial"/>
        </w:rPr>
        <w:t>Para cada subcuenta contable se discrimina cada una de las operaciones que componen el valor reportado por cada tercero, con los demás datos necesarios para que registren las operaciones.</w:t>
      </w:r>
    </w:p>
    <w:p w14:paraId="6E899ECA" w14:textId="77777777" w:rsidR="007C7EF4" w:rsidRPr="00CD459A" w:rsidRDefault="007C7EF4" w:rsidP="00AB3D96">
      <w:pPr>
        <w:pStyle w:val="Prrafodelista"/>
        <w:numPr>
          <w:ilvl w:val="1"/>
          <w:numId w:val="15"/>
        </w:numPr>
        <w:spacing w:before="11" w:after="0" w:line="240" w:lineRule="auto"/>
        <w:jc w:val="both"/>
        <w:rPr>
          <w:rFonts w:ascii="Verdana" w:hAnsi="Verdana" w:cs="Arial"/>
        </w:rPr>
      </w:pPr>
      <w:r w:rsidRPr="00CD459A">
        <w:rPr>
          <w:rFonts w:ascii="Verdana" w:hAnsi="Verdana" w:cs="Arial"/>
        </w:rPr>
        <w:t>Instructivo del contenido del archivo.</w:t>
      </w:r>
    </w:p>
    <w:p w14:paraId="309DA8D0" w14:textId="77777777" w:rsidR="007C7EF4" w:rsidRPr="00CD459A" w:rsidRDefault="007C7EF4" w:rsidP="00AB3D96">
      <w:pPr>
        <w:pStyle w:val="Prrafodelista"/>
        <w:numPr>
          <w:ilvl w:val="1"/>
          <w:numId w:val="15"/>
        </w:numPr>
        <w:spacing w:before="11" w:after="0" w:line="240" w:lineRule="auto"/>
        <w:jc w:val="both"/>
        <w:rPr>
          <w:rFonts w:ascii="Verdana" w:hAnsi="Verdana" w:cs="Arial"/>
        </w:rPr>
      </w:pPr>
      <w:r w:rsidRPr="00CD459A">
        <w:rPr>
          <w:rFonts w:ascii="Verdana" w:hAnsi="Verdana" w:cs="Arial"/>
        </w:rPr>
        <w:t>Normatividad relacionada.</w:t>
      </w:r>
    </w:p>
    <w:p w14:paraId="2B62101A" w14:textId="77777777" w:rsidR="007C7EF4" w:rsidRPr="00CD459A" w:rsidRDefault="007C7EF4" w:rsidP="00AB3D96">
      <w:pPr>
        <w:pStyle w:val="Prrafodelista"/>
        <w:numPr>
          <w:ilvl w:val="1"/>
          <w:numId w:val="15"/>
        </w:numPr>
        <w:spacing w:before="11" w:after="0" w:line="240" w:lineRule="auto"/>
        <w:jc w:val="both"/>
        <w:rPr>
          <w:rFonts w:ascii="Verdana" w:hAnsi="Verdana" w:cs="Arial"/>
        </w:rPr>
      </w:pPr>
      <w:r w:rsidRPr="00CD459A">
        <w:rPr>
          <w:rFonts w:ascii="Verdana" w:hAnsi="Verdana" w:cs="Arial"/>
        </w:rPr>
        <w:t>Valores</w:t>
      </w:r>
      <w:r w:rsidRPr="00CD459A">
        <w:rPr>
          <w:rFonts w:ascii="Verdana" w:hAnsi="Verdana" w:cs="Arial"/>
        </w:rPr>
        <w:tab/>
        <w:t>distribuidos mensualmente</w:t>
      </w:r>
      <w:r w:rsidRPr="00CD459A">
        <w:rPr>
          <w:rFonts w:ascii="Verdana" w:hAnsi="Verdana" w:cs="Arial"/>
        </w:rPr>
        <w:tab/>
        <w:t>por</w:t>
      </w:r>
      <w:r w:rsidRPr="00CD459A">
        <w:rPr>
          <w:rFonts w:ascii="Verdana" w:hAnsi="Verdana" w:cs="Arial"/>
        </w:rPr>
        <w:tab/>
        <w:t>el</w:t>
      </w:r>
      <w:r w:rsidRPr="00CD459A">
        <w:rPr>
          <w:rFonts w:ascii="Verdana" w:hAnsi="Verdana" w:cs="Arial"/>
        </w:rPr>
        <w:tab/>
        <w:t>Departamento Nacional de Planeación por entidad y por concepto.</w:t>
      </w:r>
    </w:p>
    <w:p w14:paraId="6C10756F" w14:textId="77777777" w:rsidR="007C7EF4" w:rsidRPr="00CD459A" w:rsidRDefault="007C7EF4" w:rsidP="00AB3D96">
      <w:pPr>
        <w:pStyle w:val="Prrafodelista"/>
        <w:numPr>
          <w:ilvl w:val="0"/>
          <w:numId w:val="15"/>
        </w:numPr>
        <w:spacing w:after="0" w:line="240" w:lineRule="auto"/>
        <w:jc w:val="both"/>
        <w:rPr>
          <w:rFonts w:ascii="Verdana" w:hAnsi="Verdana" w:cs="Arial"/>
        </w:rPr>
      </w:pPr>
      <w:r w:rsidRPr="00CD459A">
        <w:rPr>
          <w:rFonts w:ascii="Verdana" w:hAnsi="Verdana" w:cs="Arial"/>
        </w:rPr>
        <w:t xml:space="preserve">Una vez publicada la información se envía un correo electrónico a los contadores registrados en la Contaduría General de la Nación de las entidades territoriales, indicándoles el </w:t>
      </w:r>
      <w:proofErr w:type="gramStart"/>
      <w:r w:rsidRPr="00CD459A">
        <w:rPr>
          <w:rFonts w:ascii="Verdana" w:hAnsi="Verdana" w:cs="Arial"/>
        </w:rPr>
        <w:t>link</w:t>
      </w:r>
      <w:proofErr w:type="gramEnd"/>
      <w:r w:rsidRPr="00CD459A">
        <w:rPr>
          <w:rFonts w:ascii="Verdana" w:hAnsi="Verdana" w:cs="Arial"/>
        </w:rPr>
        <w:t xml:space="preserve"> y las instrucciones del archivo, esta información también se envía a los asesores de la Contaduría General de la Nación.</w:t>
      </w:r>
    </w:p>
    <w:p w14:paraId="4E7601CF" w14:textId="77777777" w:rsidR="007C7EF4" w:rsidRPr="00CD459A" w:rsidRDefault="007C7EF4" w:rsidP="00AB3D96">
      <w:pPr>
        <w:pStyle w:val="Prrafodelista"/>
        <w:numPr>
          <w:ilvl w:val="0"/>
          <w:numId w:val="15"/>
        </w:numPr>
        <w:spacing w:after="0" w:line="240" w:lineRule="auto"/>
        <w:jc w:val="both"/>
        <w:rPr>
          <w:rFonts w:ascii="Verdana" w:hAnsi="Verdana" w:cs="Arial"/>
        </w:rPr>
      </w:pPr>
      <w:r w:rsidRPr="00CD459A">
        <w:rPr>
          <w:rFonts w:ascii="Verdana" w:hAnsi="Verdana" w:cs="Arial"/>
        </w:rPr>
        <w:t>Cuando la Contaduría realiza el proceso de consolidación, se descarga el reporte de saldos por conciliar, a partir del cual se elabora un informe ordenado por valor de inconsistencias por tercero. Este informe se envía a los asesores de la Contaduría General de la Nación, y se comienza a hacer gestión tratando de contactar a los contadores de las entidades vía correo electrónico y vía telefónica.</w:t>
      </w:r>
    </w:p>
    <w:p w14:paraId="75C6D9F0" w14:textId="77777777" w:rsidR="007C7EF4" w:rsidRPr="00CD459A" w:rsidRDefault="007C7EF4" w:rsidP="007C7EF4">
      <w:pPr>
        <w:tabs>
          <w:tab w:val="left" w:pos="900"/>
        </w:tabs>
        <w:jc w:val="both"/>
        <w:rPr>
          <w:rFonts w:ascii="Verdana" w:eastAsia="Calibri" w:hAnsi="Verdana" w:cs="Arial"/>
        </w:rPr>
      </w:pPr>
    </w:p>
    <w:p w14:paraId="68A3D3E1" w14:textId="65E84B2D" w:rsidR="007C7EF4" w:rsidRPr="00CD459A" w:rsidRDefault="007C7EF4" w:rsidP="00AB3D96">
      <w:pPr>
        <w:pStyle w:val="Ttulo1"/>
        <w:widowControl w:val="0"/>
        <w:numPr>
          <w:ilvl w:val="0"/>
          <w:numId w:val="98"/>
        </w:numPr>
        <w:spacing w:before="0" w:after="0"/>
        <w:jc w:val="both"/>
        <w:rPr>
          <w:rFonts w:ascii="Verdana" w:hAnsi="Verdana"/>
          <w:sz w:val="22"/>
          <w:szCs w:val="22"/>
          <w:lang w:val="es-ES_tradnl"/>
        </w:rPr>
      </w:pPr>
      <w:bookmarkStart w:id="697" w:name="_Toc62483967"/>
      <w:bookmarkStart w:id="698" w:name="_Toc94710254"/>
      <w:r w:rsidRPr="00CD459A">
        <w:rPr>
          <w:rFonts w:ascii="Verdana" w:hAnsi="Verdana"/>
          <w:sz w:val="22"/>
          <w:szCs w:val="22"/>
          <w:lang w:val="es-ES_tradnl"/>
        </w:rPr>
        <w:t>TRANSMISION Y PUBLICACION DE LOS ESTADOS CONTABLES</w:t>
      </w:r>
      <w:bookmarkEnd w:id="697"/>
      <w:bookmarkEnd w:id="698"/>
    </w:p>
    <w:p w14:paraId="70045D24" w14:textId="77777777" w:rsidR="007C7EF4" w:rsidRPr="00CD459A" w:rsidRDefault="007C7EF4" w:rsidP="007C7EF4">
      <w:pPr>
        <w:jc w:val="both"/>
        <w:rPr>
          <w:rFonts w:ascii="Verdana" w:hAnsi="Verdana" w:cs="Arial"/>
          <w:lang w:val="es-ES_tradnl"/>
        </w:rPr>
      </w:pPr>
    </w:p>
    <w:p w14:paraId="72761853" w14:textId="412FB537"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699" w:name="_Toc62483968"/>
      <w:bookmarkStart w:id="700" w:name="_Toc94710255"/>
      <w:r w:rsidRPr="00CD459A">
        <w:rPr>
          <w:rFonts w:ascii="Verdana" w:hAnsi="Verdana" w:cs="Arial"/>
          <w:b/>
          <w:bCs/>
          <w:color w:val="auto"/>
          <w:sz w:val="22"/>
          <w:szCs w:val="22"/>
        </w:rPr>
        <w:t xml:space="preserve">9.1 </w:t>
      </w:r>
      <w:r w:rsidR="007C7EF4" w:rsidRPr="00CD459A">
        <w:rPr>
          <w:rFonts w:ascii="Verdana" w:hAnsi="Verdana" w:cs="Arial"/>
          <w:b/>
          <w:bCs/>
          <w:color w:val="auto"/>
          <w:sz w:val="22"/>
          <w:szCs w:val="22"/>
        </w:rPr>
        <w:t>REPORTES FORMULARIOS CONTABLES REPORTADOS AL</w:t>
      </w:r>
      <w:r w:rsidR="007C7EF4" w:rsidRPr="00CD459A">
        <w:rPr>
          <w:rFonts w:ascii="Verdana" w:hAnsi="Verdana" w:cs="Arial"/>
          <w:b/>
          <w:bCs/>
          <w:color w:val="auto"/>
          <w:spacing w:val="-1"/>
          <w:sz w:val="22"/>
          <w:szCs w:val="22"/>
        </w:rPr>
        <w:t xml:space="preserve"> </w:t>
      </w:r>
      <w:r w:rsidR="007C7EF4" w:rsidRPr="00CD459A">
        <w:rPr>
          <w:rFonts w:ascii="Verdana" w:hAnsi="Verdana" w:cs="Arial"/>
          <w:b/>
          <w:bCs/>
          <w:color w:val="auto"/>
          <w:sz w:val="22"/>
          <w:szCs w:val="22"/>
        </w:rPr>
        <w:t>CHIP</w:t>
      </w:r>
      <w:bookmarkEnd w:id="699"/>
      <w:bookmarkEnd w:id="700"/>
    </w:p>
    <w:p w14:paraId="379017DF" w14:textId="77777777" w:rsidR="007C7EF4" w:rsidRPr="00CD459A" w:rsidRDefault="007C7EF4" w:rsidP="007C7EF4">
      <w:pPr>
        <w:pStyle w:val="Default"/>
        <w:jc w:val="both"/>
        <w:rPr>
          <w:rFonts w:ascii="Verdana" w:hAnsi="Verdana"/>
          <w:color w:val="auto"/>
          <w:sz w:val="22"/>
          <w:szCs w:val="22"/>
        </w:rPr>
      </w:pPr>
    </w:p>
    <w:p w14:paraId="2DF09942"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La información contable del Sistema General de Regalías se reporta a la Contaduría General de la Nación a través del Sistema Consolidador de Hacienda e Información Financiera Pública (CHIP) de conformidad con los plazos, fechas y requerimientos establecidos por el organismo regulador de la contabilidad pública.</w:t>
      </w:r>
    </w:p>
    <w:p w14:paraId="02344B40" w14:textId="77777777" w:rsidR="007C7EF4" w:rsidRPr="00CD459A" w:rsidRDefault="007C7EF4" w:rsidP="007C7EF4">
      <w:pPr>
        <w:pStyle w:val="Default"/>
        <w:jc w:val="both"/>
        <w:rPr>
          <w:rFonts w:ascii="Verdana" w:hAnsi="Verdana"/>
          <w:color w:val="auto"/>
          <w:sz w:val="22"/>
          <w:szCs w:val="22"/>
        </w:rPr>
      </w:pPr>
    </w:p>
    <w:p w14:paraId="2B379AA9" w14:textId="45988E31"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701" w:name="_Toc62483969"/>
      <w:bookmarkStart w:id="702" w:name="_Toc94710256"/>
      <w:r w:rsidRPr="00CD459A">
        <w:rPr>
          <w:rFonts w:ascii="Verdana" w:hAnsi="Verdana" w:cs="Arial"/>
          <w:b/>
          <w:bCs/>
          <w:color w:val="auto"/>
          <w:sz w:val="22"/>
          <w:szCs w:val="22"/>
        </w:rPr>
        <w:t xml:space="preserve">9.2 </w:t>
      </w:r>
      <w:r w:rsidR="007C7EF4" w:rsidRPr="00CD459A">
        <w:rPr>
          <w:rFonts w:ascii="Verdana" w:hAnsi="Verdana" w:cs="Arial"/>
          <w:b/>
          <w:bCs/>
          <w:color w:val="auto"/>
          <w:sz w:val="22"/>
          <w:szCs w:val="22"/>
        </w:rPr>
        <w:t>CGN2015_001_SALDOS_Y_MOVIMIENTOS</w:t>
      </w:r>
      <w:bookmarkEnd w:id="701"/>
      <w:bookmarkEnd w:id="702"/>
    </w:p>
    <w:p w14:paraId="0F351905" w14:textId="77777777" w:rsidR="007C7EF4" w:rsidRPr="00CD459A" w:rsidRDefault="007C7EF4" w:rsidP="007C7EF4">
      <w:pPr>
        <w:pStyle w:val="Default"/>
        <w:jc w:val="both"/>
        <w:rPr>
          <w:rFonts w:ascii="Verdana" w:hAnsi="Verdana"/>
          <w:color w:val="auto"/>
          <w:sz w:val="22"/>
          <w:szCs w:val="22"/>
        </w:rPr>
      </w:pPr>
    </w:p>
    <w:p w14:paraId="030D9436"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Una vez se haya cumplido la fecha límite para hacer registros contables en el SPGR, se procede a generar el archivo de saldos y movimientos del trimestre respectivo, para así dar cumplimiento la trasmisión de dicha información al CHIP según lo establecido.</w:t>
      </w:r>
    </w:p>
    <w:p w14:paraId="3AFB825B" w14:textId="77777777" w:rsidR="007C7EF4" w:rsidRPr="00CD459A" w:rsidRDefault="007C7EF4" w:rsidP="007C7EF4">
      <w:pPr>
        <w:pStyle w:val="Default"/>
        <w:jc w:val="both"/>
        <w:rPr>
          <w:rFonts w:ascii="Verdana" w:hAnsi="Verdana"/>
          <w:color w:val="auto"/>
          <w:sz w:val="22"/>
          <w:szCs w:val="22"/>
        </w:rPr>
      </w:pPr>
    </w:p>
    <w:p w14:paraId="5DC4B360" w14:textId="2EB3622C"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703" w:name="_Toc62483970"/>
      <w:bookmarkStart w:id="704" w:name="_Toc94710257"/>
      <w:r w:rsidRPr="00CD459A">
        <w:rPr>
          <w:rFonts w:ascii="Verdana" w:hAnsi="Verdana" w:cs="Arial"/>
          <w:b/>
          <w:bCs/>
          <w:color w:val="auto"/>
          <w:sz w:val="22"/>
          <w:szCs w:val="22"/>
        </w:rPr>
        <w:t xml:space="preserve">9.3 </w:t>
      </w:r>
      <w:r w:rsidR="007C7EF4" w:rsidRPr="00CD459A">
        <w:rPr>
          <w:rFonts w:ascii="Verdana" w:hAnsi="Verdana" w:cs="Arial"/>
          <w:b/>
          <w:bCs/>
          <w:color w:val="auto"/>
          <w:sz w:val="22"/>
          <w:szCs w:val="22"/>
        </w:rPr>
        <w:t>CGN2015_002_OPERACIONES_RECIPROCAS</w:t>
      </w:r>
      <w:bookmarkEnd w:id="703"/>
      <w:bookmarkEnd w:id="704"/>
    </w:p>
    <w:p w14:paraId="5E22644E" w14:textId="77777777" w:rsidR="007C7EF4" w:rsidRPr="00CD459A" w:rsidRDefault="007C7EF4" w:rsidP="007C7EF4">
      <w:pPr>
        <w:pStyle w:val="Default"/>
        <w:jc w:val="both"/>
        <w:rPr>
          <w:rFonts w:ascii="Verdana" w:hAnsi="Verdana"/>
          <w:color w:val="auto"/>
          <w:sz w:val="22"/>
          <w:szCs w:val="22"/>
        </w:rPr>
      </w:pPr>
    </w:p>
    <w:p w14:paraId="686EFCE5"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Una vez se haya cumplido la fecha límite para hacer registros contables en el SPGR, se procede a generar el archivo de Operaciones Reciprocas del trimestre respectivo, para así dar cumplimiento la trasmisión de dicha información al CHIP según lo establecido.</w:t>
      </w:r>
    </w:p>
    <w:p w14:paraId="04E8C100" w14:textId="77777777" w:rsidR="007C7EF4" w:rsidRPr="00CD459A" w:rsidRDefault="007C7EF4" w:rsidP="007C7EF4">
      <w:pPr>
        <w:pStyle w:val="Default"/>
        <w:jc w:val="both"/>
        <w:rPr>
          <w:rFonts w:ascii="Verdana" w:hAnsi="Verdana"/>
          <w:color w:val="auto"/>
          <w:sz w:val="22"/>
          <w:szCs w:val="22"/>
        </w:rPr>
      </w:pPr>
    </w:p>
    <w:p w14:paraId="7040CE60" w14:textId="011DC9DC" w:rsidR="007C7EF4" w:rsidRPr="00CD459A" w:rsidRDefault="00CD459A"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705" w:name="_Toc62483971"/>
      <w:bookmarkStart w:id="706" w:name="_Toc94710258"/>
      <w:r w:rsidRPr="00CD459A">
        <w:rPr>
          <w:rFonts w:ascii="Verdana" w:hAnsi="Verdana" w:cs="Arial"/>
          <w:b/>
          <w:bCs/>
          <w:color w:val="auto"/>
          <w:sz w:val="22"/>
          <w:szCs w:val="22"/>
        </w:rPr>
        <w:t xml:space="preserve">9.4 </w:t>
      </w:r>
      <w:r w:rsidR="007C7EF4" w:rsidRPr="00CD459A">
        <w:rPr>
          <w:rFonts w:ascii="Verdana" w:hAnsi="Verdana" w:cs="Arial"/>
          <w:b/>
          <w:bCs/>
          <w:color w:val="auto"/>
          <w:sz w:val="22"/>
          <w:szCs w:val="22"/>
        </w:rPr>
        <w:t>CGN2016C01_VARIACIONES_TRIMESTRALES_SIGNIFICATIVAS</w:t>
      </w:r>
      <w:bookmarkEnd w:id="705"/>
      <w:bookmarkEnd w:id="706"/>
    </w:p>
    <w:p w14:paraId="013A2D9E" w14:textId="77777777" w:rsidR="007C7EF4" w:rsidRPr="00CD459A" w:rsidRDefault="007C7EF4" w:rsidP="007C7EF4">
      <w:pPr>
        <w:pStyle w:val="Default"/>
        <w:jc w:val="both"/>
        <w:rPr>
          <w:rFonts w:ascii="Verdana" w:hAnsi="Verdana"/>
          <w:color w:val="auto"/>
          <w:sz w:val="22"/>
          <w:szCs w:val="22"/>
        </w:rPr>
      </w:pPr>
    </w:p>
    <w:p w14:paraId="2FF4B9E0"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Una vez se haya cumplido la fecha límite para hacer registros contables en el SPGR, se procede a generar el archivo. En este formulario se reporta información relativa a las variaciones más representativas en los saldos de las cuentas contables al cierre del periodo actual y al cierre del mismo periodo del año inmediatamente anterior.</w:t>
      </w:r>
    </w:p>
    <w:p w14:paraId="5A8B980C" w14:textId="77777777" w:rsidR="007C7EF4" w:rsidRPr="00CD459A" w:rsidRDefault="007C7EF4" w:rsidP="007C7EF4">
      <w:pPr>
        <w:jc w:val="both"/>
        <w:rPr>
          <w:rFonts w:ascii="Verdana" w:hAnsi="Verdana" w:cs="Arial"/>
          <w:lang w:val="es-ES_tradnl"/>
        </w:rPr>
      </w:pPr>
    </w:p>
    <w:p w14:paraId="3854E940" w14:textId="657DFDAC" w:rsidR="007C7EF4" w:rsidRPr="00AB3D96" w:rsidRDefault="00AB3D96"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707" w:name="_Toc428344427"/>
      <w:bookmarkStart w:id="708" w:name="_Toc62483972"/>
      <w:bookmarkStart w:id="709" w:name="_Toc94710259"/>
      <w:r w:rsidRPr="00AB3D96">
        <w:rPr>
          <w:rFonts w:ascii="Verdana" w:hAnsi="Verdana" w:cs="Arial"/>
          <w:b/>
          <w:bCs/>
          <w:color w:val="auto"/>
          <w:sz w:val="22"/>
          <w:szCs w:val="22"/>
        </w:rPr>
        <w:t xml:space="preserve">9.5 </w:t>
      </w:r>
      <w:r w:rsidR="007C7EF4" w:rsidRPr="00AB3D96">
        <w:rPr>
          <w:rFonts w:ascii="Verdana" w:hAnsi="Verdana" w:cs="Arial"/>
          <w:b/>
          <w:bCs/>
          <w:color w:val="auto"/>
          <w:sz w:val="22"/>
          <w:szCs w:val="22"/>
        </w:rPr>
        <w:t>PUBLICACIÓN DE ESTADOS, INFORMES Y REPORTES CONTABLES</w:t>
      </w:r>
      <w:bookmarkEnd w:id="707"/>
      <w:bookmarkEnd w:id="708"/>
      <w:bookmarkEnd w:id="709"/>
    </w:p>
    <w:p w14:paraId="2C85192A" w14:textId="77777777" w:rsidR="007C7EF4" w:rsidRPr="00CD459A" w:rsidRDefault="007C7EF4" w:rsidP="007C7EF4">
      <w:pPr>
        <w:pStyle w:val="Default"/>
        <w:ind w:left="765"/>
        <w:jc w:val="both"/>
        <w:rPr>
          <w:rFonts w:ascii="Verdana" w:hAnsi="Verdana"/>
          <w:bCs/>
          <w:color w:val="auto"/>
          <w:sz w:val="22"/>
          <w:szCs w:val="22"/>
        </w:rPr>
      </w:pPr>
    </w:p>
    <w:p w14:paraId="09231CBB" w14:textId="77777777" w:rsidR="007C7EF4" w:rsidRPr="00CD459A" w:rsidRDefault="007C7EF4" w:rsidP="007C7EF4">
      <w:pPr>
        <w:pStyle w:val="Default"/>
        <w:jc w:val="both"/>
        <w:rPr>
          <w:rFonts w:ascii="Verdana" w:hAnsi="Verdana"/>
          <w:color w:val="auto"/>
          <w:sz w:val="22"/>
          <w:szCs w:val="22"/>
        </w:rPr>
      </w:pPr>
      <w:r w:rsidRPr="00CD459A">
        <w:rPr>
          <w:rFonts w:ascii="Verdana" w:hAnsi="Verdana"/>
          <w:color w:val="auto"/>
          <w:sz w:val="22"/>
          <w:szCs w:val="22"/>
        </w:rPr>
        <w:t>La publicación de los informes, estados y reportes contables se realiza en la página WEB del Ministerio de Hacienda y Crédito Público, se lleva a cabo de conformidad con lo establecido en la resolución 182 de mayo 19 de 2017 expedida por la Contaduría General de la Nación. Mensualmente se publican los siguientes informes:</w:t>
      </w:r>
    </w:p>
    <w:p w14:paraId="2311D574" w14:textId="77777777" w:rsidR="007C7EF4" w:rsidRPr="00CD459A" w:rsidRDefault="007C7EF4" w:rsidP="007C7EF4">
      <w:pPr>
        <w:jc w:val="both"/>
        <w:rPr>
          <w:rFonts w:ascii="Verdana" w:hAnsi="Verdana" w:cs="Arial"/>
        </w:rPr>
      </w:pPr>
    </w:p>
    <w:p w14:paraId="7E367A5C" w14:textId="77777777" w:rsidR="007C7EF4" w:rsidRPr="00CD459A" w:rsidRDefault="007C7EF4" w:rsidP="00AB3D96">
      <w:pPr>
        <w:numPr>
          <w:ilvl w:val="0"/>
          <w:numId w:val="16"/>
        </w:numPr>
        <w:spacing w:after="0" w:line="240" w:lineRule="auto"/>
        <w:jc w:val="both"/>
        <w:rPr>
          <w:rFonts w:ascii="Verdana" w:eastAsia="Calibri" w:hAnsi="Verdana" w:cs="Arial"/>
        </w:rPr>
      </w:pPr>
      <w:r w:rsidRPr="00CD459A">
        <w:rPr>
          <w:rFonts w:ascii="Verdana" w:eastAsia="Calibri" w:hAnsi="Verdana" w:cs="Arial"/>
        </w:rPr>
        <w:t xml:space="preserve">Estado de situación financiera al final del periodo contable; </w:t>
      </w:r>
    </w:p>
    <w:p w14:paraId="0B01169C" w14:textId="77777777" w:rsidR="007C7EF4" w:rsidRPr="00CD459A" w:rsidRDefault="007C7EF4" w:rsidP="00AB3D96">
      <w:pPr>
        <w:numPr>
          <w:ilvl w:val="0"/>
          <w:numId w:val="16"/>
        </w:numPr>
        <w:spacing w:after="0" w:line="240" w:lineRule="auto"/>
        <w:jc w:val="both"/>
        <w:rPr>
          <w:rFonts w:ascii="Verdana" w:eastAsia="Calibri" w:hAnsi="Verdana" w:cs="Arial"/>
        </w:rPr>
      </w:pPr>
      <w:r w:rsidRPr="00CD459A">
        <w:rPr>
          <w:rFonts w:ascii="Verdana" w:eastAsia="Calibri" w:hAnsi="Verdana" w:cs="Arial"/>
        </w:rPr>
        <w:t xml:space="preserve">Estado del resultado del periodo contable; </w:t>
      </w:r>
    </w:p>
    <w:p w14:paraId="43CD0376" w14:textId="77777777" w:rsidR="007C7EF4" w:rsidRPr="00CD459A" w:rsidRDefault="007C7EF4" w:rsidP="00AB3D96">
      <w:pPr>
        <w:numPr>
          <w:ilvl w:val="0"/>
          <w:numId w:val="16"/>
        </w:numPr>
        <w:spacing w:after="0" w:line="240" w:lineRule="auto"/>
        <w:jc w:val="both"/>
        <w:rPr>
          <w:rFonts w:ascii="Verdana" w:eastAsia="Calibri" w:hAnsi="Verdana" w:cs="Arial"/>
        </w:rPr>
      </w:pPr>
      <w:r w:rsidRPr="00CD459A">
        <w:rPr>
          <w:rFonts w:ascii="Verdana" w:eastAsia="Calibri" w:hAnsi="Verdana" w:cs="Arial"/>
        </w:rPr>
        <w:t xml:space="preserve">Estado de cambios en el patrimonio del periodo contable; </w:t>
      </w:r>
    </w:p>
    <w:p w14:paraId="2B0AA6D3" w14:textId="77777777" w:rsidR="007C7EF4" w:rsidRPr="00CD459A" w:rsidRDefault="007C7EF4" w:rsidP="00AB3D96">
      <w:pPr>
        <w:numPr>
          <w:ilvl w:val="0"/>
          <w:numId w:val="16"/>
        </w:numPr>
        <w:spacing w:after="0" w:line="240" w:lineRule="auto"/>
        <w:jc w:val="both"/>
        <w:rPr>
          <w:rFonts w:ascii="Verdana" w:eastAsia="Calibri" w:hAnsi="Verdana" w:cs="Arial"/>
        </w:rPr>
      </w:pPr>
      <w:r w:rsidRPr="00CD459A">
        <w:rPr>
          <w:rFonts w:ascii="Verdana" w:eastAsia="Calibri" w:hAnsi="Verdana" w:cs="Arial"/>
        </w:rPr>
        <w:t xml:space="preserve">Estado de flujos de efectivo del periodo contable; </w:t>
      </w:r>
    </w:p>
    <w:p w14:paraId="52AEC824" w14:textId="77777777" w:rsidR="007C7EF4" w:rsidRPr="00CD459A" w:rsidRDefault="007C7EF4" w:rsidP="00AB3D96">
      <w:pPr>
        <w:numPr>
          <w:ilvl w:val="0"/>
          <w:numId w:val="16"/>
        </w:numPr>
        <w:spacing w:after="0" w:line="240" w:lineRule="auto"/>
        <w:jc w:val="both"/>
        <w:rPr>
          <w:rFonts w:ascii="Verdana" w:hAnsi="Verdana" w:cs="Arial"/>
        </w:rPr>
      </w:pPr>
      <w:r w:rsidRPr="00CD459A">
        <w:rPr>
          <w:rFonts w:ascii="Verdana" w:hAnsi="Verdana" w:cs="Arial"/>
        </w:rPr>
        <w:t>Notas a los estados financieros.</w:t>
      </w:r>
    </w:p>
    <w:p w14:paraId="1640DE9A" w14:textId="77777777" w:rsidR="007C7EF4" w:rsidRPr="00CD459A" w:rsidRDefault="007C7EF4" w:rsidP="007C7EF4">
      <w:pPr>
        <w:jc w:val="both"/>
        <w:rPr>
          <w:rFonts w:ascii="Verdana" w:hAnsi="Verdana" w:cs="Arial"/>
          <w:lang w:val="es-ES_tradnl"/>
        </w:rPr>
      </w:pPr>
    </w:p>
    <w:p w14:paraId="51A88566" w14:textId="244DBC97" w:rsidR="007C7EF4" w:rsidRPr="00AB3D96" w:rsidRDefault="00AB3D96" w:rsidP="007C7EF4">
      <w:pPr>
        <w:pStyle w:val="Ttulo2"/>
        <w:keepLines w:val="0"/>
        <w:widowControl w:val="0"/>
        <w:numPr>
          <w:ilvl w:val="1"/>
          <w:numId w:val="0"/>
        </w:numPr>
        <w:spacing w:before="0" w:line="240" w:lineRule="auto"/>
        <w:ind w:left="576" w:hanging="576"/>
        <w:jc w:val="both"/>
        <w:rPr>
          <w:rFonts w:ascii="Verdana" w:eastAsia="Calibri" w:hAnsi="Verdana" w:cs="Arial"/>
          <w:b/>
          <w:bCs/>
          <w:color w:val="auto"/>
          <w:sz w:val="22"/>
          <w:szCs w:val="22"/>
        </w:rPr>
      </w:pPr>
      <w:bookmarkStart w:id="710" w:name="_Toc62483973"/>
      <w:bookmarkStart w:id="711" w:name="_Toc94710260"/>
      <w:r w:rsidRPr="00AB3D96">
        <w:rPr>
          <w:rFonts w:ascii="Verdana" w:eastAsia="Calibri" w:hAnsi="Verdana" w:cs="Arial"/>
          <w:b/>
          <w:bCs/>
          <w:color w:val="auto"/>
          <w:sz w:val="22"/>
          <w:szCs w:val="22"/>
        </w:rPr>
        <w:t xml:space="preserve">9.6 </w:t>
      </w:r>
      <w:r w:rsidR="007C7EF4" w:rsidRPr="00AB3D96">
        <w:rPr>
          <w:rFonts w:ascii="Verdana" w:eastAsia="Calibri" w:hAnsi="Verdana" w:cs="Arial"/>
          <w:b/>
          <w:bCs/>
          <w:color w:val="auto"/>
          <w:sz w:val="22"/>
          <w:szCs w:val="22"/>
        </w:rPr>
        <w:t>CONCILIACIÓN CHIP SPGR</w:t>
      </w:r>
      <w:bookmarkEnd w:id="710"/>
      <w:bookmarkEnd w:id="711"/>
    </w:p>
    <w:p w14:paraId="49127086" w14:textId="77777777" w:rsidR="007C7EF4" w:rsidRPr="00CD459A" w:rsidRDefault="007C7EF4" w:rsidP="007C7EF4">
      <w:pPr>
        <w:jc w:val="both"/>
        <w:rPr>
          <w:rFonts w:ascii="Verdana" w:eastAsia="Calibri" w:hAnsi="Verdana" w:cs="Arial"/>
        </w:rPr>
      </w:pPr>
    </w:p>
    <w:p w14:paraId="63738FAE" w14:textId="77777777" w:rsidR="007C7EF4" w:rsidRPr="00CD459A" w:rsidRDefault="007C7EF4" w:rsidP="007C7EF4">
      <w:pPr>
        <w:jc w:val="both"/>
        <w:rPr>
          <w:rFonts w:ascii="Verdana" w:eastAsia="Calibri" w:hAnsi="Verdana" w:cs="Arial"/>
        </w:rPr>
      </w:pPr>
      <w:r w:rsidRPr="00CD459A">
        <w:rPr>
          <w:rFonts w:ascii="Verdana" w:eastAsia="Calibri" w:hAnsi="Verdana" w:cs="Arial"/>
        </w:rPr>
        <w:t>Una vez transmitida la información contable al CHIP se realiza una verificación aleatoria manual para verificar que la información que fue trasmitida coincida con los saldos que tiene el SPGR con corte al periodo reportado por cada subcuenta contable.</w:t>
      </w:r>
    </w:p>
    <w:p w14:paraId="635BFF98" w14:textId="77777777" w:rsidR="007C7EF4" w:rsidRPr="00CD459A" w:rsidRDefault="007C7EF4" w:rsidP="007C7EF4">
      <w:pPr>
        <w:jc w:val="both"/>
        <w:rPr>
          <w:rFonts w:ascii="Verdana" w:eastAsia="Calibri" w:hAnsi="Verdana" w:cs="Arial"/>
        </w:rPr>
      </w:pPr>
    </w:p>
    <w:p w14:paraId="5B694DF2" w14:textId="28EBE5B5" w:rsidR="007C7EF4" w:rsidRPr="00CD459A" w:rsidRDefault="007C7EF4" w:rsidP="00AB3D96">
      <w:pPr>
        <w:pStyle w:val="Ttulo1"/>
        <w:widowControl w:val="0"/>
        <w:numPr>
          <w:ilvl w:val="0"/>
          <w:numId w:val="98"/>
        </w:numPr>
        <w:spacing w:before="0" w:after="0"/>
        <w:jc w:val="both"/>
        <w:rPr>
          <w:rFonts w:ascii="Verdana" w:eastAsia="Calibri" w:hAnsi="Verdana"/>
          <w:sz w:val="22"/>
          <w:szCs w:val="22"/>
          <w:lang w:val="es-CO" w:eastAsia="en-US"/>
        </w:rPr>
      </w:pPr>
      <w:bookmarkStart w:id="712" w:name="_Toc62483974"/>
      <w:bookmarkStart w:id="713" w:name="_Toc94710261"/>
      <w:r w:rsidRPr="00CD459A">
        <w:rPr>
          <w:rFonts w:ascii="Verdana" w:eastAsia="Calibri" w:hAnsi="Verdana"/>
          <w:sz w:val="22"/>
          <w:szCs w:val="22"/>
          <w:lang w:val="es-CO" w:eastAsia="en-US"/>
        </w:rPr>
        <w:t>SOSTENIBILIDAD CONTABLE DEL SISTEMA GENERAL DE REGALIAS</w:t>
      </w:r>
      <w:bookmarkEnd w:id="712"/>
      <w:bookmarkEnd w:id="713"/>
    </w:p>
    <w:p w14:paraId="71E0340C" w14:textId="77777777" w:rsidR="007C7EF4" w:rsidRPr="00CD459A" w:rsidRDefault="007C7EF4" w:rsidP="007C7EF4">
      <w:pPr>
        <w:jc w:val="both"/>
        <w:rPr>
          <w:rFonts w:ascii="Verdana" w:eastAsia="Calibri" w:hAnsi="Verdana" w:cs="Arial"/>
        </w:rPr>
      </w:pPr>
    </w:p>
    <w:bookmarkEnd w:id="219"/>
    <w:p w14:paraId="4139A938" w14:textId="77777777" w:rsidR="007C7EF4" w:rsidRPr="00CD459A" w:rsidRDefault="007C7EF4" w:rsidP="007C7EF4">
      <w:pPr>
        <w:pStyle w:val="Textoindependiente"/>
        <w:rPr>
          <w:rFonts w:ascii="Verdana" w:eastAsia="Tahoma" w:hAnsi="Verdana" w:cs="Arial"/>
          <w:sz w:val="22"/>
          <w:szCs w:val="22"/>
        </w:rPr>
      </w:pPr>
      <w:r w:rsidRPr="00CD459A">
        <w:rPr>
          <w:rFonts w:ascii="Verdana" w:eastAsia="Tahoma" w:hAnsi="Verdana" w:cs="Arial"/>
          <w:sz w:val="22"/>
          <w:szCs w:val="22"/>
        </w:rPr>
        <w:t>El proceso contable del SGR está organizado y tiene definidas las instancias y los documentos fuente que deben servir de soporte para registrar los hechos económicos de acuerdo con el marco normativo, por lo que todos los saldos y movimientos que se presenta en los informes contables están justificados y desagregados; no existen partidas por depurar. En este sentido cada que es necesario aclarar algún tema respecto al procedimiento contable de alguna operación, se revisa entre el contador y el subdirector de operaciones y en caso de ser necesario se solicita concepto a la Contaduría General de la, esto ha permitido mantener los hechos económicos debidamente clasificados y unos saldos contables depurados.</w:t>
      </w:r>
    </w:p>
    <w:p w14:paraId="5C1DA2BB" w14:textId="77777777" w:rsidR="007C7EF4" w:rsidRPr="00CD459A" w:rsidRDefault="007C7EF4" w:rsidP="007C7EF4">
      <w:pPr>
        <w:jc w:val="both"/>
        <w:rPr>
          <w:rFonts w:ascii="Verdana" w:eastAsia="Tahoma" w:hAnsi="Verdana" w:cs="Arial"/>
        </w:rPr>
      </w:pPr>
      <w:r w:rsidRPr="00CD459A">
        <w:rPr>
          <w:rFonts w:ascii="Verdana" w:eastAsia="Tahoma" w:hAnsi="Verdana" w:cs="Arial"/>
        </w:rPr>
        <w:t xml:space="preserve"> </w:t>
      </w:r>
    </w:p>
    <w:p w14:paraId="1FFDE46F" w14:textId="60AC0385" w:rsidR="007C7EF4" w:rsidRPr="00CD459A" w:rsidRDefault="00AB3D96" w:rsidP="007C7EF4">
      <w:pPr>
        <w:pStyle w:val="Ttulo1"/>
        <w:widowControl w:val="0"/>
        <w:spacing w:before="0" w:after="0"/>
        <w:jc w:val="both"/>
        <w:rPr>
          <w:rFonts w:ascii="Verdana" w:hAnsi="Verdana"/>
          <w:sz w:val="22"/>
          <w:szCs w:val="22"/>
        </w:rPr>
      </w:pPr>
      <w:bookmarkStart w:id="714" w:name="_Toc62483976"/>
      <w:bookmarkStart w:id="715" w:name="_Toc94710262"/>
      <w:r>
        <w:rPr>
          <w:rFonts w:ascii="Verdana" w:hAnsi="Verdana"/>
          <w:sz w:val="22"/>
          <w:szCs w:val="22"/>
        </w:rPr>
        <w:t xml:space="preserve">11 </w:t>
      </w:r>
      <w:r w:rsidR="007C7EF4" w:rsidRPr="00CD459A">
        <w:rPr>
          <w:rFonts w:ascii="Verdana" w:hAnsi="Verdana"/>
          <w:sz w:val="22"/>
          <w:szCs w:val="22"/>
        </w:rPr>
        <w:t>PRINCIPALES POLITICAS CONTABLES</w:t>
      </w:r>
      <w:bookmarkEnd w:id="714"/>
      <w:bookmarkEnd w:id="715"/>
      <w:r w:rsidR="007C7EF4" w:rsidRPr="00CD459A">
        <w:rPr>
          <w:rFonts w:ascii="Verdana" w:hAnsi="Verdana"/>
          <w:sz w:val="22"/>
          <w:szCs w:val="22"/>
        </w:rPr>
        <w:t xml:space="preserve"> </w:t>
      </w:r>
    </w:p>
    <w:p w14:paraId="6A314260" w14:textId="77777777" w:rsidR="007C7EF4" w:rsidRPr="00CD459A" w:rsidRDefault="007C7EF4" w:rsidP="007C7EF4">
      <w:pPr>
        <w:jc w:val="both"/>
        <w:rPr>
          <w:rFonts w:ascii="Verdana" w:hAnsi="Verdana" w:cs="Arial"/>
          <w:b/>
        </w:rPr>
      </w:pPr>
    </w:p>
    <w:p w14:paraId="7ECC44B9" w14:textId="4E49AF0F" w:rsidR="007C7EF4" w:rsidRPr="00AB3D96" w:rsidRDefault="00AB3D96" w:rsidP="007C7EF4">
      <w:pPr>
        <w:pStyle w:val="Ttulo2"/>
        <w:keepLines w:val="0"/>
        <w:widowControl w:val="0"/>
        <w:numPr>
          <w:ilvl w:val="1"/>
          <w:numId w:val="0"/>
        </w:numPr>
        <w:spacing w:before="0" w:line="240" w:lineRule="auto"/>
        <w:ind w:left="576" w:hanging="576"/>
        <w:jc w:val="both"/>
        <w:rPr>
          <w:rFonts w:ascii="Verdana" w:hAnsi="Verdana" w:cs="Arial"/>
          <w:b/>
          <w:bCs/>
          <w:color w:val="auto"/>
          <w:sz w:val="22"/>
          <w:szCs w:val="22"/>
        </w:rPr>
      </w:pPr>
      <w:bookmarkStart w:id="716" w:name="_Toc20217294"/>
      <w:bookmarkStart w:id="717" w:name="_Toc20301081"/>
      <w:bookmarkStart w:id="718" w:name="_Toc62483977"/>
      <w:bookmarkStart w:id="719" w:name="_Toc94710263"/>
      <w:r w:rsidRPr="00AB3D96">
        <w:rPr>
          <w:rFonts w:ascii="Verdana" w:hAnsi="Verdana" w:cs="Arial"/>
          <w:b/>
          <w:bCs/>
          <w:color w:val="auto"/>
          <w:sz w:val="22"/>
          <w:szCs w:val="22"/>
        </w:rPr>
        <w:t xml:space="preserve">11.1 </w:t>
      </w:r>
      <w:r w:rsidR="007C7EF4" w:rsidRPr="00AB3D96">
        <w:rPr>
          <w:rFonts w:ascii="Verdana" w:hAnsi="Verdana" w:cs="Arial"/>
          <w:b/>
          <w:bCs/>
          <w:color w:val="auto"/>
          <w:sz w:val="22"/>
          <w:szCs w:val="22"/>
        </w:rPr>
        <w:t>Política Contable de Inversiones de Administración de Liquidez</w:t>
      </w:r>
      <w:bookmarkEnd w:id="716"/>
      <w:bookmarkEnd w:id="717"/>
      <w:bookmarkEnd w:id="718"/>
      <w:bookmarkEnd w:id="719"/>
    </w:p>
    <w:p w14:paraId="7D7563F7" w14:textId="77777777" w:rsidR="007C7EF4" w:rsidRPr="00CD459A" w:rsidRDefault="007C7EF4" w:rsidP="007C7EF4">
      <w:pPr>
        <w:pStyle w:val="cuerpotexto"/>
        <w:tabs>
          <w:tab w:val="left" w:pos="0"/>
        </w:tabs>
        <w:spacing w:before="31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inversiones de administración de liquidez corresponden a los recursos financieros colocados en instrumentos de deuda o de patrimonio, con el propósito de obtener rendimientos provenientes de las fluctuaciones del precio o de los flujos contractuales del título durante su vigencia, así como los instrumentos de patrimonio que no se esperen negociar y que no otorguen control, influencia significativa ni control conjunto.</w:t>
      </w:r>
    </w:p>
    <w:p w14:paraId="1B88F730"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707FBB09"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Inversiones de Administración de Liquidez del Sistema General de Regalías se clasifican como instrumentos de deuda, son títulos de renta fija que le otorgan al SGR la calidad de acreedor frente al emisor del título; provienen por una parte de los excedentes transitorios de liquidez con los cuales se constituyen Depósitos remunerados por el Banco de la República, Depósitos remunerados por el Tesoro Nacional y Pagarés emitidos por la Nación a nombre del Sistema General de Regalías.</w:t>
      </w:r>
    </w:p>
    <w:p w14:paraId="6F3736DC" w14:textId="77777777" w:rsidR="007C7EF4" w:rsidRPr="00CD459A" w:rsidRDefault="007C7EF4" w:rsidP="007C7EF4">
      <w:pPr>
        <w:pStyle w:val="cuerpotexto"/>
        <w:tabs>
          <w:tab w:val="left" w:pos="0"/>
        </w:tabs>
        <w:spacing w:before="8"/>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 xml:space="preserve"> </w:t>
      </w:r>
    </w:p>
    <w:p w14:paraId="34409A06"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En los aspectos correspondientes al reconocimiento, medición, revelación y presentación de la información de las inversiones de administración de liquidez se aplica el tratamiento contable establecido por la Resolución No. 533 de 2015 y sus modificatorias, específicamente en el Numeral 1- Inversiones de administración de liquidez del Capítulo I-Activos y el Numeral 1.3.5 - Estados de flujos de efectivo del Capítulo VI-Normas para la presentación de estados financieros y revelaciones; adicionalmente lo contemplado en el Numeral 6.1.1 Definición de los elementos de los estados financieros-Activos y 6.2.1 Reconocimiento de los activos, del mencionado Marco Conceptual.</w:t>
      </w:r>
    </w:p>
    <w:p w14:paraId="2D6194A6"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13906E30"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inversiones de administración de liquidez del Sistema general de Regalías se clasifican en la categoría “Costo amortizado”, ya que la entidad tiene la intención y la capacidad de conservarla hasta su vencimiento, y los rendimientos provienen de los flujos contractuales del instrumento.</w:t>
      </w:r>
    </w:p>
    <w:p w14:paraId="26DFDEA9"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756DCE36"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 medición del deterioro del valor de las inversiones de administración de liquidez clasificadas al costo amortizado se realiza cuando exista evidencia objetiva del incumplimiento de los pagos a cargo del emisor o del desmejoramiento de sus condiciones crediticias.</w:t>
      </w:r>
    </w:p>
    <w:p w14:paraId="108CDF23"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20" w:name="_Toc20217295"/>
      <w:bookmarkStart w:id="721" w:name="_Toc20301082"/>
      <w:bookmarkStart w:id="722" w:name="_Toc62483978"/>
      <w:bookmarkStart w:id="723" w:name="_Toc94710264"/>
      <w:r w:rsidRPr="00CD459A">
        <w:rPr>
          <w:rFonts w:ascii="Verdana" w:hAnsi="Verdana" w:cs="Arial"/>
          <w:color w:val="auto"/>
          <w:sz w:val="22"/>
          <w:szCs w:val="22"/>
        </w:rPr>
        <w:t>Política Contable de Cuentas por Cobrar</w:t>
      </w:r>
      <w:bookmarkEnd w:id="720"/>
      <w:bookmarkEnd w:id="721"/>
      <w:bookmarkEnd w:id="722"/>
      <w:bookmarkEnd w:id="723"/>
    </w:p>
    <w:p w14:paraId="0758FC63" w14:textId="77777777" w:rsidR="007C7EF4" w:rsidRPr="00CD459A" w:rsidRDefault="007C7EF4" w:rsidP="007C7EF4">
      <w:pPr>
        <w:pStyle w:val="cuerpotexto"/>
        <w:tabs>
          <w:tab w:val="left" w:pos="0"/>
        </w:tabs>
        <w:spacing w:before="319"/>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cobrar son derechos adquiridos por la entidad en desarrollo de sus actividades de los que se espera recibir un flujo financiero, fijo o determinable, en efectivo, equivalentes al efectivo u otro instrumento.</w:t>
      </w:r>
    </w:p>
    <w:p w14:paraId="7BD71E0E" w14:textId="77777777" w:rsidR="007C7EF4" w:rsidRPr="00CD459A" w:rsidRDefault="007C7EF4" w:rsidP="007C7EF4">
      <w:pPr>
        <w:pStyle w:val="Sinespaciado"/>
        <w:contextualSpacing/>
        <w:jc w:val="both"/>
        <w:rPr>
          <w:rFonts w:ascii="Verdana" w:eastAsia="Tahoma" w:hAnsi="Verdana" w:cs="Arial"/>
          <w:sz w:val="22"/>
          <w:szCs w:val="22"/>
        </w:rPr>
      </w:pPr>
      <w:r w:rsidRPr="00CD459A">
        <w:rPr>
          <w:rFonts w:ascii="Verdana" w:eastAsia="Tahoma" w:hAnsi="Verdana" w:cs="Arial"/>
          <w:sz w:val="22"/>
          <w:szCs w:val="22"/>
        </w:rPr>
        <w:t>Para el Sistema General de Regalías constituyen cuentas por cobrar los derechos por regalías no recaudados por las Agencias, los valores recaudados por las agencias no trasferidos al sistema y los rendimientos financieros pendientes de transferir por las entidades que administran recursos del SGR.</w:t>
      </w:r>
    </w:p>
    <w:p w14:paraId="06A8F2DB"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cobrar del SGR se clasifican en la categoría de costo y se miden por el valor de transacción que corresponde al importe en efectivo que se espera recibir al extinguir el deudor.</w:t>
      </w:r>
    </w:p>
    <w:p w14:paraId="1A79611A" w14:textId="77777777" w:rsidR="007C7EF4" w:rsidRPr="00CD459A" w:rsidRDefault="007C7EF4" w:rsidP="007C7EF4">
      <w:pPr>
        <w:pStyle w:val="cuerpotexto"/>
        <w:tabs>
          <w:tab w:val="left" w:pos="0"/>
        </w:tabs>
        <w:spacing w:before="8"/>
        <w:contextualSpacing/>
        <w:jc w:val="both"/>
        <w:rPr>
          <w:rFonts w:ascii="Verdana" w:eastAsia="Tahoma" w:hAnsi="Verdana" w:cs="Arial"/>
          <w:sz w:val="22"/>
          <w:szCs w:val="22"/>
          <w:lang w:val="es-ES" w:eastAsia="es-ES"/>
        </w:rPr>
      </w:pPr>
    </w:p>
    <w:p w14:paraId="3D8ED5FF"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El reconocimiento procede siempre que exista el documento fuente idóneo que garantice el derecho y que exista certeza que el Ente Público percibirá beneficios económicos o potencial de servicio relacionado al activo de la transacción, además que el valor del activo puede ser medido con fiabilidad. En este sentido al final de cada periodo se realizan las actividades para registrar y conciliar los saldos de las cuentas por cobrar con cada uno de los deudores.</w:t>
      </w:r>
    </w:p>
    <w:p w14:paraId="2BB47047"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44442910"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cobrar se reconocen y revelan de acuerdo con el tratamiento contable establecido por la Resolución No. 533 de 2015 y sus modificatorias, específicamente en el Numeral 2- Cuentas por Cobrar del Capítulo I - Activos; adicionalmente lo contemplado en el Numeral 6.1.1 Definición de los elementos de los estados financieros-Activos y 6.2.1 Reconocimiento de los activos, del mencionado Marco Conceptual.</w:t>
      </w:r>
    </w:p>
    <w:p w14:paraId="05E8196B"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3423BFBD"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cobrar serán objeto de estimaciones de deterioro cuando existe evidencia objetiva del incumplimiento de los pagos a cargo del deudor o del desmejoramiento de sus condiciones. Al final de cada periodo se verifican si existen indicios de deterioro para proceder con el procedimiento definido en el numeral 19 – Deterioro del valor de los activos generadores de efectivo del capitulo1 – Activos de la parte 2 – Normas de la resolución 533 de 2015.</w:t>
      </w:r>
    </w:p>
    <w:p w14:paraId="5A7F9365"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24" w:name="_Toc20217296"/>
      <w:bookmarkStart w:id="725" w:name="_Toc20301083"/>
      <w:bookmarkStart w:id="726" w:name="_Toc62483979"/>
      <w:bookmarkStart w:id="727" w:name="_Toc94710265"/>
      <w:r w:rsidRPr="00CD459A">
        <w:rPr>
          <w:rFonts w:ascii="Verdana" w:hAnsi="Verdana" w:cs="Arial"/>
          <w:color w:val="auto"/>
          <w:sz w:val="22"/>
          <w:szCs w:val="22"/>
        </w:rPr>
        <w:t>Política Contable de Recursos Entregados en Administración</w:t>
      </w:r>
      <w:bookmarkEnd w:id="724"/>
      <w:bookmarkEnd w:id="725"/>
      <w:bookmarkEnd w:id="726"/>
      <w:bookmarkEnd w:id="727"/>
    </w:p>
    <w:p w14:paraId="6B466C72"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recursos entregados en administración por el Sistema General de Regalías corresponden al valor constituido en depósitos remunerados por el Tesoro Nacional con los excedentes transitorios de liquidez.</w:t>
      </w:r>
    </w:p>
    <w:p w14:paraId="07BB3AB1"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34C753B8"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 xml:space="preserve">Estas operaciones se registran conforme a lo establecido por la Contaduría General de la Nación mediante Resolución 386 de 2018 "Por la cual se incorpora, en el Marco Normativo para Entidades de Gobierno, el Procedimiento contable para el registro de los recursos entregados en administración y se modifica el Catálogo General de Cuentas de dicho Marco Normativo”. </w:t>
      </w:r>
    </w:p>
    <w:p w14:paraId="5DE39541"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7EE1CF87"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En los aspectos correspondientes al reconocimiento, medición, revelación y presentación de la información de las inversiones de administración de liquidez se aplica el tratamiento contable establecido por la Resolución No. 533 de 2015 y sus modificatorias, específicamente en el Numeral 1- Inversiones de administración de liquidez del Capítulo I-Activos y el Numeral 1.3.5 - Estados de flujos de efectivo del Capítulo VI-Normas para la presentación de estados financieros y revelaciones; adicionalmente lo contemplado en el Numeral 6.1.1 Definición de los elementos de los estados financieros-Activos y 6.2.1 Reconocimiento de los activos, del mencionado Marco Conceptual.</w:t>
      </w:r>
    </w:p>
    <w:p w14:paraId="37E363FB"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297F6A6E"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Estas partidas en el Sistema general de Regalías se clasifican en la categoría “Costo amortizado”, ya que la entidad tiene la intención y la capacidad de conservarla hasta su vencimiento, y los rendimientos provienen de los flujos contractuales del instrumento.</w:t>
      </w:r>
    </w:p>
    <w:p w14:paraId="1822B410"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066282D6"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 medición del deterioro del valor de estas partidas se realiza cuando exista evidencia objetiva del incumplimiento de los pagos a cargo del emisor o del desmejoramiento de sus condiciones crediticias.</w:t>
      </w:r>
    </w:p>
    <w:p w14:paraId="0C4207FD"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28" w:name="_Toc20217297"/>
      <w:bookmarkStart w:id="729" w:name="_Toc20301084"/>
      <w:bookmarkStart w:id="730" w:name="_Toc62483980"/>
      <w:bookmarkStart w:id="731" w:name="_Toc94710266"/>
      <w:r w:rsidRPr="00CD459A">
        <w:rPr>
          <w:rFonts w:ascii="Verdana" w:hAnsi="Verdana" w:cs="Arial"/>
          <w:color w:val="auto"/>
          <w:sz w:val="22"/>
          <w:szCs w:val="22"/>
        </w:rPr>
        <w:t>Política Contable de Cuentas por Pagar</w:t>
      </w:r>
      <w:bookmarkEnd w:id="728"/>
      <w:bookmarkEnd w:id="729"/>
      <w:bookmarkEnd w:id="730"/>
      <w:bookmarkEnd w:id="731"/>
    </w:p>
    <w:p w14:paraId="5C3929E2"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Se reconocen como cuentas por pagar las obligaciones adquiridas con terceros por los Entes Públicos, originadas en el desarrollo de sus actividades y de las cuales se espere, a futuro, la salida de un flujo financiero fijo o determinable a través de efectivo, equivalentes al efectivo u otro instrumento.</w:t>
      </w:r>
    </w:p>
    <w:p w14:paraId="1808AD0E"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1FE39F6B"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Para el Sistema General de Regalías Constituyen cuentas por pagar:</w:t>
      </w:r>
    </w:p>
    <w:p w14:paraId="7A67A196"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74AEEFE6" w14:textId="77777777" w:rsidR="007C7EF4" w:rsidRPr="00CD459A" w:rsidRDefault="007C7EF4" w:rsidP="00AB3D96">
      <w:pPr>
        <w:pStyle w:val="cuerpotexto"/>
        <w:numPr>
          <w:ilvl w:val="0"/>
          <w:numId w:val="17"/>
        </w:numPr>
        <w:tabs>
          <w:tab w:val="left" w:pos="709"/>
        </w:tabs>
        <w:spacing w:before="5"/>
        <w:ind w:left="0" w:firstLine="0"/>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valores distribuidos a los beneficiarios de las regalías por el DNP mediante “Instrucción de abono a cuenta” para: Asignaciones Directas, Proyectos de Ciencia, Tecnología e Innovación, Proyectos de Desarrollo Regional, Proyectos de Compensación Regional, Ahorro Pensional Territorial, Proyectos de inversión de los municipios ribereños del río grande de la Magdalena y canal del dique, Fiscalización del Sistema General de Regalías, Monitoreo, seguimiento, control y evaluación del Sistema General de Regalías, Funcionamiento del Sistema General de Regalías, Asignación para la paz e Incentivos a la producción minera.</w:t>
      </w:r>
    </w:p>
    <w:p w14:paraId="763646DC" w14:textId="77777777" w:rsidR="007C7EF4" w:rsidRPr="00CD459A" w:rsidRDefault="007C7EF4" w:rsidP="00AB3D96">
      <w:pPr>
        <w:pStyle w:val="cuerpotexto"/>
        <w:numPr>
          <w:ilvl w:val="0"/>
          <w:numId w:val="17"/>
        </w:numPr>
        <w:tabs>
          <w:tab w:val="left" w:pos="709"/>
        </w:tabs>
        <w:spacing w:before="5"/>
        <w:ind w:left="709" w:hanging="709"/>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Recaudos en la cuenta única del Sistema general de Regalías pendientes de clasificar e imputar.</w:t>
      </w:r>
    </w:p>
    <w:p w14:paraId="1B494CF3" w14:textId="77777777" w:rsidR="007C7EF4" w:rsidRPr="00CD459A" w:rsidRDefault="007C7EF4" w:rsidP="00AB3D96">
      <w:pPr>
        <w:pStyle w:val="cuerpotexto"/>
        <w:numPr>
          <w:ilvl w:val="0"/>
          <w:numId w:val="17"/>
        </w:numPr>
        <w:spacing w:before="5"/>
        <w:ind w:left="709" w:hanging="709"/>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 xml:space="preserve">Rendimientos Financieros que permanecen en la cuenta única del Sistema General de       Regalías que son propiedad de las entidades beneficiarias de regalías. </w:t>
      </w:r>
    </w:p>
    <w:p w14:paraId="6619D6D3"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0853409C"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pagar del SGR se clasifican en la categoría de costo y se miden por el valor de transacción que corresponde al importe en efectivo que se espera entregar para extinguir la obligación.</w:t>
      </w:r>
    </w:p>
    <w:p w14:paraId="7CE25FFC"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1389330C"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Las cuentas por pagar se reconocen y revelan de acuerdo con el tratamiento contable establecido por la Resolución No. 533 de 2015 y sus modificatorias, específicamente en el Numeral 3- Cuentas por Pagar del Capítulo II- Pasivos; adicionalmente lo contemplado en el Numeral 6.1.1 Definición de los elementos de los estados financieros-Activos y 6.2.1 Reconocimiento de los pasivos, del mencionado Marco Conceptual.</w:t>
      </w:r>
    </w:p>
    <w:p w14:paraId="11780770"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32" w:name="_bookmark30"/>
      <w:bookmarkStart w:id="733" w:name="_Toc20204715"/>
      <w:bookmarkStart w:id="734" w:name="_Toc20217298"/>
      <w:bookmarkStart w:id="735" w:name="_Toc20301085"/>
      <w:bookmarkStart w:id="736" w:name="_Toc62483981"/>
      <w:bookmarkStart w:id="737" w:name="_Toc94710267"/>
      <w:bookmarkEnd w:id="732"/>
      <w:r w:rsidRPr="00CD459A">
        <w:rPr>
          <w:rFonts w:ascii="Verdana" w:hAnsi="Verdana" w:cs="Arial"/>
          <w:color w:val="auto"/>
          <w:sz w:val="22"/>
          <w:szCs w:val="22"/>
        </w:rPr>
        <w:t>Política Contable de Ingresos</w:t>
      </w:r>
      <w:bookmarkEnd w:id="733"/>
      <w:bookmarkEnd w:id="734"/>
      <w:bookmarkEnd w:id="735"/>
      <w:bookmarkEnd w:id="736"/>
      <w:bookmarkEnd w:id="737"/>
    </w:p>
    <w:p w14:paraId="44C21061"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ingresos son los incrementos en los beneficios económicos o en el potencial de servicio producidos a lo largo del periodo contable (como entrada o incremento del activo o salida o decremento del pasivo) que dan como resultado aumentos del patrimonio y no están relacionados con los aportes para la creación de la entidad.</w:t>
      </w:r>
    </w:p>
    <w:p w14:paraId="63FB3805"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ingresos de las entidades de gobierno surgen de transacciones con y sin contraprestación.</w:t>
      </w:r>
    </w:p>
    <w:p w14:paraId="37A10F67"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Constituyen ingresos para el Sistema General de Regalías:</w:t>
      </w:r>
    </w:p>
    <w:p w14:paraId="38D8B85D"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p>
    <w:p w14:paraId="6D25885F" w14:textId="77777777" w:rsidR="007C7EF4" w:rsidRPr="00CD459A" w:rsidRDefault="007C7EF4" w:rsidP="00AB3D96">
      <w:pPr>
        <w:pStyle w:val="cuerpotexto"/>
        <w:numPr>
          <w:ilvl w:val="0"/>
          <w:numId w:val="17"/>
        </w:numPr>
        <w:tabs>
          <w:tab w:val="left" w:pos="0"/>
        </w:tabs>
        <w:spacing w:before="5"/>
        <w:ind w:left="0" w:firstLine="42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Ingresos Fiscales de Regalías por Hidrocarburos y minería.</w:t>
      </w:r>
    </w:p>
    <w:p w14:paraId="53ED9461" w14:textId="77777777" w:rsidR="007C7EF4" w:rsidRPr="00CD459A" w:rsidRDefault="007C7EF4" w:rsidP="00AB3D96">
      <w:pPr>
        <w:pStyle w:val="cuerpotexto"/>
        <w:numPr>
          <w:ilvl w:val="0"/>
          <w:numId w:val="17"/>
        </w:numPr>
        <w:tabs>
          <w:tab w:val="left" w:pos="0"/>
        </w:tabs>
        <w:spacing w:before="5"/>
        <w:ind w:left="0" w:firstLine="42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Rendimientos Financieros.</w:t>
      </w:r>
    </w:p>
    <w:p w14:paraId="5C622E6B" w14:textId="77777777" w:rsidR="007C7EF4" w:rsidRPr="00CD459A" w:rsidRDefault="007C7EF4" w:rsidP="00AB3D96">
      <w:pPr>
        <w:pStyle w:val="cuerpotexto"/>
        <w:numPr>
          <w:ilvl w:val="0"/>
          <w:numId w:val="17"/>
        </w:numPr>
        <w:spacing w:before="5"/>
        <w:ind w:left="709" w:hanging="283"/>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Diferencia en Cambio sobre los recursos del FAE por el incremento en la TRM de un periodo a otro.</w:t>
      </w:r>
    </w:p>
    <w:p w14:paraId="3D9BAF44"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189F88DD"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Estos ingresos surgen de transacciones sin contraprestación, ya que el Sistema General de Regalías la recibe sin entregar a cambio una contraprestación que se aproxime al valor de mercado del recurso recibido. De otra parte, porque el sistema General de Regalías representado por la Agencia Nacional de Minería y la Agencia Nacional de Hidrocarburos, tiene la facultad legal para exigir el pago de las regalías que se generan por la explotación de recursos naturales no renovables.</w:t>
      </w:r>
    </w:p>
    <w:p w14:paraId="3B5252DD"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p>
    <w:p w14:paraId="6041B430"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ingresos En el Sistema General de Regalías se reconocen siempre que previa evaluación de las circunstancias, se evidencie, que se cumple con las siguientes condiciones:</w:t>
      </w:r>
    </w:p>
    <w:p w14:paraId="53AA6F5A"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after="0"/>
        <w:ind w:left="0" w:firstLine="426"/>
        <w:contextualSpacing/>
        <w:jc w:val="both"/>
        <w:outlineLvl w:val="9"/>
        <w:rPr>
          <w:rFonts w:ascii="Verdana" w:eastAsia="Tahoma" w:hAnsi="Verdana" w:cs="Arial"/>
          <w:sz w:val="22"/>
          <w:szCs w:val="22"/>
        </w:rPr>
      </w:pPr>
      <w:r w:rsidRPr="00CD459A">
        <w:rPr>
          <w:rFonts w:ascii="Verdana" w:eastAsia="Tahoma" w:hAnsi="Verdana" w:cs="Arial"/>
          <w:sz w:val="22"/>
          <w:szCs w:val="22"/>
        </w:rPr>
        <w:t xml:space="preserve">  Se tiene control sobre el activo asociado a la transacción.</w:t>
      </w:r>
    </w:p>
    <w:p w14:paraId="4C7EA856"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after="0"/>
        <w:contextualSpacing/>
        <w:jc w:val="both"/>
        <w:outlineLvl w:val="9"/>
        <w:rPr>
          <w:rFonts w:ascii="Verdana" w:eastAsia="Tahoma" w:hAnsi="Verdana" w:cs="Arial"/>
          <w:sz w:val="22"/>
          <w:szCs w:val="22"/>
        </w:rPr>
      </w:pPr>
      <w:r w:rsidRPr="00CD459A">
        <w:rPr>
          <w:rFonts w:ascii="Verdana" w:eastAsia="Tahoma" w:hAnsi="Verdana" w:cs="Arial"/>
          <w:sz w:val="22"/>
          <w:szCs w:val="22"/>
        </w:rPr>
        <w:t>Es probable que el ente perciba beneficios económicos o potencial de servicio        relacionado al activo de la transacción.</w:t>
      </w:r>
    </w:p>
    <w:p w14:paraId="320CC083" w14:textId="77777777" w:rsidR="007C7EF4" w:rsidRPr="00CD459A" w:rsidRDefault="007C7EF4" w:rsidP="00AB3D96">
      <w:pPr>
        <w:pStyle w:val="Subttulo"/>
        <w:widowControl w:val="0"/>
        <w:numPr>
          <w:ilvl w:val="0"/>
          <w:numId w:val="18"/>
        </w:numPr>
        <w:tabs>
          <w:tab w:val="left" w:pos="501"/>
          <w:tab w:val="left" w:pos="502"/>
          <w:tab w:val="left" w:pos="567"/>
        </w:tabs>
        <w:autoSpaceDE w:val="0"/>
        <w:autoSpaceDN w:val="0"/>
        <w:spacing w:after="0"/>
        <w:ind w:left="0" w:firstLine="426"/>
        <w:contextualSpacing/>
        <w:jc w:val="both"/>
        <w:outlineLvl w:val="9"/>
        <w:rPr>
          <w:rFonts w:ascii="Verdana" w:eastAsia="Tahoma" w:hAnsi="Verdana" w:cs="Arial"/>
          <w:sz w:val="22"/>
          <w:szCs w:val="22"/>
        </w:rPr>
      </w:pPr>
      <w:r w:rsidRPr="00CD459A">
        <w:rPr>
          <w:rFonts w:ascii="Verdana" w:eastAsia="Tahoma" w:hAnsi="Verdana" w:cs="Arial"/>
          <w:sz w:val="22"/>
          <w:szCs w:val="22"/>
        </w:rPr>
        <w:t xml:space="preserve">    El valor del activo puede ser medido con fiabilidad.</w:t>
      </w:r>
    </w:p>
    <w:p w14:paraId="2E423031" w14:textId="77777777" w:rsidR="007C7EF4" w:rsidRPr="00CD459A" w:rsidRDefault="007C7EF4" w:rsidP="007C7EF4">
      <w:pPr>
        <w:pStyle w:val="cuerpotexto"/>
        <w:tabs>
          <w:tab w:val="left" w:pos="0"/>
        </w:tabs>
        <w:spacing w:before="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ingresos se reconocen y revelan de acuerdo con el tratamiento contable establecido por la Resolución No. 533 de 2015 y sus modificatorias, específicamente en el Numeral 1- Ingresos de Transacciones sin contraprestación del Capítulo IV- Ingresos; adicionalmente lo contemplado en el Numeral 6.1.1 Definición de los elementos de los estados financieros-Activos y 6.2.3 Reconocimiento de Ingresos, del mencionado Marco Conceptual.</w:t>
      </w:r>
    </w:p>
    <w:p w14:paraId="3C3F9008"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38" w:name="_Toc20217299"/>
      <w:bookmarkStart w:id="739" w:name="_Toc20301086"/>
      <w:bookmarkStart w:id="740" w:name="_Toc62483982"/>
      <w:bookmarkStart w:id="741" w:name="_Toc94710268"/>
      <w:r w:rsidRPr="00CD459A">
        <w:rPr>
          <w:rFonts w:ascii="Verdana" w:hAnsi="Verdana" w:cs="Arial"/>
          <w:color w:val="auto"/>
          <w:sz w:val="22"/>
          <w:szCs w:val="22"/>
        </w:rPr>
        <w:t>Política Contable de Gastos</w:t>
      </w:r>
      <w:bookmarkEnd w:id="738"/>
      <w:bookmarkEnd w:id="739"/>
      <w:bookmarkEnd w:id="740"/>
      <w:bookmarkEnd w:id="741"/>
    </w:p>
    <w:p w14:paraId="6D8560A4"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gastos son los decrementos en los beneficios económicos o en el potencial de servicio producidos a lo largo del periodo contable (como salida o disminución del activo o generación o aumento del pasivo) que dan como resultado decremento del patrimonio y no están relacionados con la adquisición o producción de bienes y la prestación de servicios, vendidos, ni con la distribución de excedentes.</w:t>
      </w:r>
    </w:p>
    <w:p w14:paraId="30D95656"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p>
    <w:p w14:paraId="1CD1E44E"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gastos del Sistema General de Regalías están determinados por valores distribuidos a los beneficiarios de las regalías por el DNP mediante “Instrucción de abono a cuenta” para: Asignaciones Directas, Proyectos de Ciencia, Tecnología e Innovación, Proyectos de Desarrollo Regional, Proyectos de Compensación Regional, Proyectos de inversión de los municipios ribereños del río grande de la Magdalena y canal del dique, Fiscalización del Sistema General de Regalías, Monitoreo, seguimiento, control y evaluación del Sistema General de Regalías, Funcionamiento del Sistema General de Regalías, Asignación para la paz e Incentivos a la producción minera.</w:t>
      </w:r>
    </w:p>
    <w:p w14:paraId="3B304D9E"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p>
    <w:p w14:paraId="471E729A" w14:textId="77777777" w:rsidR="007C7EF4" w:rsidRPr="00CD459A" w:rsidRDefault="007C7EF4" w:rsidP="007C7EF4">
      <w:pPr>
        <w:pStyle w:val="cuerpotexto"/>
        <w:tabs>
          <w:tab w:val="left" w:pos="0"/>
        </w:tabs>
        <w:spacing w:before="316"/>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 xml:space="preserve">Estos gastos se reconocen con el acto administrativo emitido por el Departamento Nacional de Planeación mediante el cual distribuye cada mes entre los beneficiarios de las regalías por cada concepto, los recursos provenientes de las liquidaciones informadas por la Agencia Nacional de Hidrocarburos y la Agencia Nacional de Minería. </w:t>
      </w:r>
    </w:p>
    <w:p w14:paraId="761F4D5E"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42" w:name="_Toc20217300"/>
      <w:bookmarkStart w:id="743" w:name="_Toc20301087"/>
      <w:bookmarkStart w:id="744" w:name="_Toc62483983"/>
      <w:bookmarkStart w:id="745" w:name="_Toc94710269"/>
      <w:r w:rsidRPr="00CD459A">
        <w:rPr>
          <w:rFonts w:ascii="Verdana" w:hAnsi="Verdana" w:cs="Arial"/>
          <w:color w:val="auto"/>
          <w:sz w:val="22"/>
          <w:szCs w:val="22"/>
        </w:rPr>
        <w:t>Política Contable para la Preparación y Presentación de los Estados Financieros y sus Revelaciones.</w:t>
      </w:r>
      <w:bookmarkEnd w:id="742"/>
      <w:bookmarkEnd w:id="743"/>
      <w:bookmarkEnd w:id="744"/>
      <w:bookmarkEnd w:id="745"/>
    </w:p>
    <w:p w14:paraId="29E7FDAB" w14:textId="77777777" w:rsidR="007C7EF4" w:rsidRPr="00CD459A" w:rsidRDefault="007C7EF4" w:rsidP="007C7EF4">
      <w:pPr>
        <w:tabs>
          <w:tab w:val="left" w:pos="0"/>
        </w:tabs>
        <w:contextualSpacing/>
        <w:jc w:val="both"/>
        <w:rPr>
          <w:rFonts w:ascii="Verdana" w:eastAsia="Calibri" w:hAnsi="Verdana" w:cs="Arial"/>
        </w:rPr>
      </w:pPr>
    </w:p>
    <w:p w14:paraId="43FB5FF7" w14:textId="77777777" w:rsidR="007C7EF4" w:rsidRPr="00CD459A" w:rsidRDefault="007C7EF4" w:rsidP="007C7EF4">
      <w:pPr>
        <w:tabs>
          <w:tab w:val="left" w:pos="0"/>
        </w:tabs>
        <w:contextualSpacing/>
        <w:jc w:val="both"/>
        <w:rPr>
          <w:rFonts w:ascii="Verdana" w:eastAsia="Tahoma" w:hAnsi="Verdana" w:cs="Arial"/>
        </w:rPr>
      </w:pPr>
      <w:r w:rsidRPr="00CD459A">
        <w:rPr>
          <w:rFonts w:ascii="Verdana" w:eastAsia="Tahoma" w:hAnsi="Verdana" w:cs="Arial"/>
        </w:rPr>
        <w:t>La información financiera se revela en la estructura de los estados financieros, así como en las notas explicativas.</w:t>
      </w:r>
    </w:p>
    <w:p w14:paraId="1D9D4E37" w14:textId="77777777" w:rsidR="007C7EF4" w:rsidRPr="00CD459A" w:rsidRDefault="007C7EF4" w:rsidP="007C7EF4">
      <w:pPr>
        <w:pStyle w:val="cuerpotexto"/>
        <w:tabs>
          <w:tab w:val="left" w:pos="0"/>
        </w:tabs>
        <w:spacing w:before="317"/>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 xml:space="preserve">Esta política aplica a los estados financieros de información de propósito general, que pretenden cubrir las necesidades de los usuarios que no están en condiciones de exigir informes a la medida de sus necesidades específicas de información. El Sistema General de Regalías presenta estados financieros individuales, ya que no posee control, influencia significativa ni control conjunto en otra entidad. </w:t>
      </w:r>
    </w:p>
    <w:p w14:paraId="36CE5266" w14:textId="77777777" w:rsidR="007C7EF4" w:rsidRPr="00CD459A" w:rsidRDefault="007C7EF4" w:rsidP="007C7EF4">
      <w:pPr>
        <w:pStyle w:val="cuerpotexto"/>
        <w:tabs>
          <w:tab w:val="left" w:pos="0"/>
        </w:tabs>
        <w:spacing w:before="317"/>
        <w:contextualSpacing/>
        <w:jc w:val="both"/>
        <w:rPr>
          <w:rFonts w:ascii="Verdana" w:eastAsia="Tahoma" w:hAnsi="Verdana" w:cs="Arial"/>
          <w:sz w:val="22"/>
          <w:szCs w:val="22"/>
          <w:lang w:val="es-ES" w:eastAsia="es-ES"/>
        </w:rPr>
      </w:pPr>
    </w:p>
    <w:p w14:paraId="243BD24C" w14:textId="77777777" w:rsidR="007C7EF4" w:rsidRPr="00CD459A" w:rsidRDefault="007C7EF4" w:rsidP="007C7EF4">
      <w:pPr>
        <w:pStyle w:val="cuerpotexto"/>
        <w:tabs>
          <w:tab w:val="left" w:pos="0"/>
        </w:tabs>
        <w:spacing w:before="317"/>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Para cumplir su finalidad, los estados financieros del SGR suministran información de los activos, pasivos, patrimonio, ingresos, gastos, cuentas de orden y los flujos de efectivo. Además, se presentan revelaciones de carácter general y especifico en las notas a los estados financieros.</w:t>
      </w:r>
    </w:p>
    <w:p w14:paraId="25FF6CC7"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52FCC67D"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rubros contables incluidos en los estados financieros se ciñen al contenido del Catálogo General de Cuentas (CGC) aplicable a las Entidades de Gobierno; por lo que, tanto la denominación de los rubros, como su contenido y orden, obedecen la estructura del CGC.</w:t>
      </w:r>
    </w:p>
    <w:p w14:paraId="46578C17" w14:textId="77777777" w:rsidR="007C7EF4" w:rsidRPr="00CD459A" w:rsidRDefault="007C7EF4" w:rsidP="007C7EF4">
      <w:pPr>
        <w:pStyle w:val="cuerpotexto"/>
        <w:tabs>
          <w:tab w:val="left" w:pos="0"/>
        </w:tabs>
        <w:spacing w:before="317"/>
        <w:contextualSpacing/>
        <w:jc w:val="both"/>
        <w:rPr>
          <w:rFonts w:ascii="Verdana" w:eastAsia="Tahoma" w:hAnsi="Verdana" w:cs="Arial"/>
          <w:sz w:val="22"/>
          <w:szCs w:val="22"/>
          <w:lang w:val="es-ES" w:eastAsia="es-ES"/>
        </w:rPr>
      </w:pPr>
    </w:p>
    <w:p w14:paraId="27A630AA" w14:textId="77777777" w:rsidR="007C7EF4" w:rsidRPr="00CD459A" w:rsidRDefault="007C7EF4" w:rsidP="007C7EF4">
      <w:pPr>
        <w:pStyle w:val="cuerpotexto"/>
        <w:tabs>
          <w:tab w:val="left" w:pos="0"/>
        </w:tabs>
        <w:spacing w:before="317"/>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En los aspectos correspondientes a la presentación de estados financieros y revelaciones de la información, el Sistema General de Regalías aplica lo establecido por la Resolución No. 533 de 2015 y sus modificatorias, específicamente en el Capítulo 4 - Normas para la presentación de estados financieros y revelaciones.</w:t>
      </w:r>
    </w:p>
    <w:p w14:paraId="2DA5A939"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p>
    <w:p w14:paraId="4759C3C7"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El juego completo de estados financieros comprende (en todos los casos son comparativos con los correspondientes al período inmediatamente anterior):</w:t>
      </w:r>
    </w:p>
    <w:p w14:paraId="59B87B7D"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Estado de Situación Financiera.</w:t>
      </w:r>
    </w:p>
    <w:p w14:paraId="15664E38"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before="40"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Estado de Resultados.</w:t>
      </w:r>
    </w:p>
    <w:p w14:paraId="10D36BBA"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before="40"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Estado de Cambios en el Patrimonio.</w:t>
      </w:r>
    </w:p>
    <w:p w14:paraId="19D86696"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before="40"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Estados de Flujos de Efectivo.</w:t>
      </w:r>
    </w:p>
    <w:p w14:paraId="1DE43BD2" w14:textId="77777777" w:rsidR="007C7EF4" w:rsidRPr="00CD459A" w:rsidRDefault="007C7EF4" w:rsidP="00AB3D96">
      <w:pPr>
        <w:pStyle w:val="Subttulo"/>
        <w:widowControl w:val="0"/>
        <w:numPr>
          <w:ilvl w:val="0"/>
          <w:numId w:val="18"/>
        </w:numPr>
        <w:tabs>
          <w:tab w:val="left" w:pos="0"/>
          <w:tab w:val="left" w:pos="501"/>
          <w:tab w:val="left" w:pos="502"/>
        </w:tabs>
        <w:autoSpaceDE w:val="0"/>
        <w:autoSpaceDN w:val="0"/>
        <w:spacing w:before="39"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Notas a los Estados Financieros.</w:t>
      </w:r>
    </w:p>
    <w:p w14:paraId="57D7AB06" w14:textId="77777777" w:rsidR="007C7EF4" w:rsidRPr="00CD459A" w:rsidRDefault="007C7EF4" w:rsidP="007C7EF4">
      <w:pPr>
        <w:pStyle w:val="cuerpotexto"/>
        <w:tabs>
          <w:tab w:val="left" w:pos="0"/>
        </w:tabs>
        <w:spacing w:before="11"/>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Cada mes se publican los estados financieros en la página del Ministerio, con corte al mes inmediatamente anterior, allí también se publica información complementaria como la “Instrucción de Abono a cuenta”, las operaciones reciprocas, entre otras.</w:t>
      </w:r>
    </w:p>
    <w:p w14:paraId="07C8E6D1" w14:textId="77777777" w:rsidR="007C7EF4" w:rsidRPr="00CD459A" w:rsidRDefault="007C7EF4" w:rsidP="00AB3D96">
      <w:pPr>
        <w:pStyle w:val="Ttulo2"/>
        <w:keepNext w:val="0"/>
        <w:keepLines w:val="0"/>
        <w:widowControl w:val="0"/>
        <w:numPr>
          <w:ilvl w:val="1"/>
          <w:numId w:val="19"/>
        </w:numPr>
        <w:autoSpaceDE w:val="0"/>
        <w:autoSpaceDN w:val="0"/>
        <w:spacing w:before="0" w:line="240" w:lineRule="auto"/>
        <w:contextualSpacing/>
        <w:jc w:val="both"/>
        <w:rPr>
          <w:rFonts w:ascii="Verdana" w:hAnsi="Verdana" w:cs="Arial"/>
          <w:color w:val="auto"/>
          <w:sz w:val="22"/>
          <w:szCs w:val="22"/>
        </w:rPr>
      </w:pPr>
      <w:bookmarkStart w:id="746" w:name="_bookmark32"/>
      <w:bookmarkStart w:id="747" w:name="_Toc20204716"/>
      <w:bookmarkStart w:id="748" w:name="_Toc20217301"/>
      <w:bookmarkStart w:id="749" w:name="_Toc20301088"/>
      <w:bookmarkStart w:id="750" w:name="_Toc62483984"/>
      <w:bookmarkStart w:id="751" w:name="_Toc94710270"/>
      <w:bookmarkEnd w:id="746"/>
      <w:r w:rsidRPr="00CD459A">
        <w:rPr>
          <w:rFonts w:ascii="Verdana" w:hAnsi="Verdana" w:cs="Arial"/>
          <w:color w:val="auto"/>
          <w:sz w:val="22"/>
          <w:szCs w:val="22"/>
        </w:rPr>
        <w:t>Política Contable de Hechos Ocurridos Después del Periodo Contable</w:t>
      </w:r>
      <w:bookmarkEnd w:id="747"/>
      <w:bookmarkEnd w:id="748"/>
      <w:bookmarkEnd w:id="749"/>
      <w:bookmarkEnd w:id="750"/>
      <w:bookmarkEnd w:id="751"/>
    </w:p>
    <w:p w14:paraId="414B870A" w14:textId="77777777" w:rsidR="007C7EF4" w:rsidRPr="00CD459A" w:rsidRDefault="007C7EF4" w:rsidP="007C7EF4">
      <w:pPr>
        <w:pStyle w:val="cuerpotexto"/>
        <w:tabs>
          <w:tab w:val="left" w:pos="0"/>
        </w:tabs>
        <w:spacing w:before="315"/>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Los hechos ocurridos después del periodo contable son todos aquellos eventos, favorables o desfavorables, que se producen entre el final del periodo contable y la fecha de autorización para la publicación de los estados financieros.</w:t>
      </w:r>
    </w:p>
    <w:p w14:paraId="09885D6F" w14:textId="77777777" w:rsidR="007C7EF4" w:rsidRPr="00CD459A" w:rsidRDefault="007C7EF4" w:rsidP="007C7EF4">
      <w:pPr>
        <w:pStyle w:val="cuerpotexto"/>
        <w:tabs>
          <w:tab w:val="left" w:pos="0"/>
        </w:tabs>
        <w:spacing w:before="7"/>
        <w:contextualSpacing/>
        <w:jc w:val="both"/>
        <w:rPr>
          <w:rFonts w:ascii="Verdana" w:eastAsia="Tahoma" w:hAnsi="Verdana" w:cs="Arial"/>
          <w:sz w:val="22"/>
          <w:szCs w:val="22"/>
          <w:lang w:val="es-ES" w:eastAsia="es-ES"/>
        </w:rPr>
      </w:pPr>
    </w:p>
    <w:p w14:paraId="4F7513C9"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El final del periodo contable se refiere al último día del periodo con el cual están relacionados los estados financieros y corresponderá al 31 de diciembre. Por su parte, la fecha de autorización para la publicación de los estados financieros corresponde a la fecha en la que se aprueba que los diferentes usuarios tengan conocimiento de estos.</w:t>
      </w:r>
    </w:p>
    <w:p w14:paraId="5984E327" w14:textId="77777777" w:rsidR="007C7EF4" w:rsidRPr="00CD459A" w:rsidRDefault="007C7EF4" w:rsidP="007C7EF4">
      <w:pPr>
        <w:pStyle w:val="cuerpotexto"/>
        <w:tabs>
          <w:tab w:val="left" w:pos="0"/>
        </w:tabs>
        <w:spacing w:before="9"/>
        <w:contextualSpacing/>
        <w:jc w:val="both"/>
        <w:rPr>
          <w:rFonts w:ascii="Verdana" w:eastAsia="Tahoma" w:hAnsi="Verdana" w:cs="Arial"/>
          <w:sz w:val="22"/>
          <w:szCs w:val="22"/>
          <w:lang w:val="es-ES" w:eastAsia="es-ES"/>
        </w:rPr>
      </w:pPr>
    </w:p>
    <w:p w14:paraId="5A0B46E7"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En los aspectos correspondientes a los hechos ocurridos después del período contable el Sistema General de Regalías, aplica lo establecido por la Resolución No. 533 de 2015 y sus modificatorias, específicamente en el Capítulo 4-Normas para la presentación de estados financieros y revelaciones, Numeral 5-Hechos ocurridos después del período contable.</w:t>
      </w:r>
    </w:p>
    <w:p w14:paraId="7DABEFCB" w14:textId="77777777" w:rsidR="007C7EF4" w:rsidRPr="00CD459A" w:rsidRDefault="007C7EF4" w:rsidP="007C7EF4">
      <w:pPr>
        <w:pStyle w:val="cuerpotexto"/>
        <w:tabs>
          <w:tab w:val="left" w:pos="0"/>
        </w:tabs>
        <w:spacing w:before="6"/>
        <w:contextualSpacing/>
        <w:jc w:val="both"/>
        <w:rPr>
          <w:rFonts w:ascii="Verdana" w:eastAsia="Tahoma" w:hAnsi="Verdana" w:cs="Arial"/>
          <w:sz w:val="22"/>
          <w:szCs w:val="22"/>
          <w:lang w:val="es-ES" w:eastAsia="es-ES"/>
        </w:rPr>
      </w:pPr>
    </w:p>
    <w:p w14:paraId="481B43D2" w14:textId="77777777" w:rsidR="007C7EF4" w:rsidRPr="00CD459A" w:rsidRDefault="007C7EF4" w:rsidP="007C7EF4">
      <w:pPr>
        <w:pStyle w:val="cuerpotexto"/>
        <w:tabs>
          <w:tab w:val="left" w:pos="0"/>
        </w:tabs>
        <w:contextualSpacing/>
        <w:jc w:val="both"/>
        <w:rPr>
          <w:rFonts w:ascii="Verdana" w:eastAsia="Tahoma" w:hAnsi="Verdana" w:cs="Arial"/>
          <w:sz w:val="22"/>
          <w:szCs w:val="22"/>
          <w:lang w:val="es-ES" w:eastAsia="es-ES"/>
        </w:rPr>
      </w:pPr>
      <w:r w:rsidRPr="00CD459A">
        <w:rPr>
          <w:rFonts w:ascii="Verdana" w:eastAsia="Tahoma" w:hAnsi="Verdana" w:cs="Arial"/>
          <w:sz w:val="22"/>
          <w:szCs w:val="22"/>
          <w:lang w:val="es-ES" w:eastAsia="es-ES"/>
        </w:rPr>
        <w:t>Para establecer el procedimiento a seguir en cada evento en el que se encuentran hechos ocurridos después del periodo contable, se consideran por lo menos los siguientes aspectos:</w:t>
      </w:r>
    </w:p>
    <w:p w14:paraId="5905998B" w14:textId="77777777" w:rsidR="007C7EF4" w:rsidRPr="00CD459A" w:rsidRDefault="007C7EF4" w:rsidP="00AB3D96">
      <w:pPr>
        <w:pStyle w:val="Subttulo"/>
        <w:widowControl w:val="0"/>
        <w:numPr>
          <w:ilvl w:val="0"/>
          <w:numId w:val="18"/>
        </w:numPr>
        <w:tabs>
          <w:tab w:val="left" w:pos="0"/>
          <w:tab w:val="left" w:pos="502"/>
        </w:tabs>
        <w:autoSpaceDE w:val="0"/>
        <w:autoSpaceDN w:val="0"/>
        <w:spacing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Los hechos ocurridos después del periodo contable implican ajuste siempre y cuando proporcionen evidencias de las condiciones existentes al final de dicho periodo.</w:t>
      </w:r>
    </w:p>
    <w:p w14:paraId="46E0438F" w14:textId="77777777" w:rsidR="007C7EF4" w:rsidRPr="00CD459A" w:rsidRDefault="007C7EF4" w:rsidP="007C7EF4">
      <w:pPr>
        <w:pStyle w:val="Subttulo"/>
        <w:widowControl w:val="0"/>
        <w:tabs>
          <w:tab w:val="left" w:pos="0"/>
          <w:tab w:val="left" w:pos="502"/>
        </w:tabs>
        <w:autoSpaceDE w:val="0"/>
        <w:autoSpaceDN w:val="0"/>
        <w:contextualSpacing/>
        <w:jc w:val="both"/>
        <w:rPr>
          <w:rFonts w:ascii="Verdana" w:eastAsia="Tahoma" w:hAnsi="Verdana" w:cs="Arial"/>
          <w:sz w:val="22"/>
          <w:szCs w:val="22"/>
        </w:rPr>
      </w:pPr>
    </w:p>
    <w:p w14:paraId="248CAB87" w14:textId="77777777" w:rsidR="007C7EF4" w:rsidRPr="00CD459A" w:rsidRDefault="007C7EF4" w:rsidP="00AB3D96">
      <w:pPr>
        <w:pStyle w:val="Subttulo"/>
        <w:widowControl w:val="0"/>
        <w:numPr>
          <w:ilvl w:val="0"/>
          <w:numId w:val="18"/>
        </w:numPr>
        <w:tabs>
          <w:tab w:val="left" w:pos="0"/>
          <w:tab w:val="left" w:pos="502"/>
        </w:tabs>
        <w:autoSpaceDE w:val="0"/>
        <w:autoSpaceDN w:val="0"/>
        <w:spacing w:before="5" w:after="0"/>
        <w:ind w:left="0" w:firstLine="0"/>
        <w:contextualSpacing/>
        <w:jc w:val="both"/>
        <w:outlineLvl w:val="9"/>
        <w:rPr>
          <w:rFonts w:ascii="Verdana" w:eastAsia="Tahoma" w:hAnsi="Verdana" w:cs="Arial"/>
          <w:sz w:val="22"/>
          <w:szCs w:val="22"/>
        </w:rPr>
      </w:pPr>
      <w:r w:rsidRPr="00CD459A">
        <w:rPr>
          <w:rFonts w:ascii="Verdana" w:eastAsia="Tahoma" w:hAnsi="Verdana" w:cs="Arial"/>
          <w:sz w:val="22"/>
          <w:szCs w:val="22"/>
        </w:rPr>
        <w:t>De lo contrario no se realizan ajustes y se efectúan las revelaciones correspondientes, siempre y cuando los hechos económicos sean materiales.</w:t>
      </w:r>
    </w:p>
    <w:p w14:paraId="439D2712" w14:textId="77777777" w:rsidR="007C7EF4" w:rsidRPr="00CD459A" w:rsidRDefault="007C7EF4" w:rsidP="007C7EF4">
      <w:pPr>
        <w:jc w:val="both"/>
        <w:rPr>
          <w:rFonts w:ascii="Verdana" w:eastAsia="Calibri" w:hAnsi="Verdana" w:cs="Arial"/>
        </w:rPr>
      </w:pPr>
    </w:p>
    <w:p w14:paraId="72256803" w14:textId="77777777" w:rsidR="007C7EF4" w:rsidRPr="00CD459A" w:rsidRDefault="007C7EF4" w:rsidP="00AB3D96">
      <w:pPr>
        <w:pStyle w:val="Ttulo1"/>
        <w:widowControl w:val="0"/>
        <w:numPr>
          <w:ilvl w:val="0"/>
          <w:numId w:val="19"/>
        </w:numPr>
        <w:spacing w:before="0" w:after="0"/>
        <w:jc w:val="both"/>
        <w:rPr>
          <w:rFonts w:ascii="Verdana" w:hAnsi="Verdana"/>
          <w:sz w:val="22"/>
          <w:szCs w:val="22"/>
        </w:rPr>
      </w:pPr>
      <w:bookmarkStart w:id="752" w:name="_Toc428344203"/>
      <w:bookmarkStart w:id="753" w:name="_Toc428344428"/>
      <w:bookmarkStart w:id="754" w:name="_Toc62483985"/>
      <w:bookmarkStart w:id="755" w:name="_Toc94710271"/>
      <w:r w:rsidRPr="00CD459A">
        <w:rPr>
          <w:rFonts w:ascii="Verdana" w:hAnsi="Verdana"/>
          <w:sz w:val="22"/>
          <w:szCs w:val="22"/>
        </w:rPr>
        <w:t>POLÍTICA POR GRUPO DE CUENTAS ESPECIFICAS DEL SISTEMA GENERAL DE REGALÍAS</w:t>
      </w:r>
      <w:bookmarkEnd w:id="752"/>
      <w:bookmarkEnd w:id="753"/>
      <w:bookmarkEnd w:id="754"/>
      <w:bookmarkEnd w:id="755"/>
    </w:p>
    <w:p w14:paraId="20143C7E" w14:textId="77777777" w:rsidR="007C7EF4" w:rsidRPr="00CD459A" w:rsidRDefault="007C7EF4" w:rsidP="007C7EF4">
      <w:pPr>
        <w:jc w:val="both"/>
        <w:rPr>
          <w:rFonts w:ascii="Verdana" w:hAnsi="Verdana" w:cs="Arial"/>
        </w:rPr>
      </w:pPr>
    </w:p>
    <w:p w14:paraId="43617BEC"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color w:val="auto"/>
          <w:sz w:val="22"/>
          <w:szCs w:val="22"/>
        </w:rPr>
      </w:pPr>
      <w:bookmarkStart w:id="756" w:name="_Toc428344429"/>
      <w:bookmarkStart w:id="757" w:name="_Toc62483986"/>
      <w:bookmarkStart w:id="758" w:name="_Toc94710272"/>
      <w:r w:rsidRPr="00CD459A">
        <w:rPr>
          <w:rFonts w:ascii="Verdana" w:hAnsi="Verdana" w:cs="Arial"/>
          <w:color w:val="auto"/>
          <w:sz w:val="22"/>
          <w:szCs w:val="22"/>
        </w:rPr>
        <w:t>ACTIVO</w:t>
      </w:r>
      <w:bookmarkEnd w:id="756"/>
      <w:bookmarkEnd w:id="757"/>
      <w:bookmarkEnd w:id="758"/>
      <w:r w:rsidRPr="00CD459A">
        <w:rPr>
          <w:rFonts w:ascii="Verdana" w:hAnsi="Verdana" w:cs="Arial"/>
          <w:color w:val="auto"/>
          <w:sz w:val="22"/>
          <w:szCs w:val="22"/>
        </w:rPr>
        <w:t xml:space="preserve"> </w:t>
      </w:r>
    </w:p>
    <w:p w14:paraId="0DDBF7E3" w14:textId="77777777" w:rsidR="007C7EF4" w:rsidRPr="00CD459A" w:rsidRDefault="007C7EF4" w:rsidP="007C7EF4">
      <w:pPr>
        <w:pStyle w:val="Default"/>
        <w:ind w:left="765"/>
        <w:jc w:val="both"/>
        <w:rPr>
          <w:rFonts w:ascii="Verdana" w:hAnsi="Verdana"/>
          <w:bCs/>
          <w:color w:val="auto"/>
          <w:sz w:val="22"/>
          <w:szCs w:val="22"/>
        </w:rPr>
      </w:pPr>
      <w:r w:rsidRPr="00CD459A">
        <w:rPr>
          <w:rFonts w:ascii="Verdana" w:hAnsi="Verdana"/>
          <w:bCs/>
          <w:color w:val="auto"/>
          <w:sz w:val="22"/>
          <w:szCs w:val="22"/>
        </w:rPr>
        <w:t xml:space="preserve"> </w:t>
      </w:r>
    </w:p>
    <w:tbl>
      <w:tblPr>
        <w:tblW w:w="0" w:type="auto"/>
        <w:tblInd w:w="125" w:type="dxa"/>
        <w:tblLayout w:type="fixed"/>
        <w:tblCellMar>
          <w:left w:w="127" w:type="dxa"/>
          <w:right w:w="127" w:type="dxa"/>
        </w:tblCellMar>
        <w:tblLook w:val="0000" w:firstRow="0" w:lastRow="0" w:firstColumn="0" w:lastColumn="0" w:noHBand="0" w:noVBand="0"/>
      </w:tblPr>
      <w:tblGrid>
        <w:gridCol w:w="2226"/>
        <w:gridCol w:w="2751"/>
        <w:gridCol w:w="3814"/>
      </w:tblGrid>
      <w:tr w:rsidR="00CD459A" w:rsidRPr="00CD459A" w14:paraId="49A30806" w14:textId="77777777" w:rsidTr="003B74CE">
        <w:trPr>
          <w:cantSplit/>
        </w:trPr>
        <w:tc>
          <w:tcPr>
            <w:tcW w:w="2226" w:type="dxa"/>
            <w:tcBorders>
              <w:top w:val="single" w:sz="6" w:space="0" w:color="auto"/>
              <w:left w:val="single" w:sz="6" w:space="0" w:color="auto"/>
              <w:right w:val="single" w:sz="6" w:space="0" w:color="auto"/>
            </w:tcBorders>
          </w:tcPr>
          <w:p w14:paraId="4AC16933"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CLASE</w:t>
            </w:r>
          </w:p>
        </w:tc>
        <w:tc>
          <w:tcPr>
            <w:tcW w:w="2751" w:type="dxa"/>
            <w:tcBorders>
              <w:top w:val="single" w:sz="6" w:space="0" w:color="auto"/>
              <w:left w:val="single" w:sz="6" w:space="0" w:color="auto"/>
              <w:right w:val="single" w:sz="6" w:space="0" w:color="auto"/>
            </w:tcBorders>
          </w:tcPr>
          <w:p w14:paraId="78EDAA08"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GRUPO</w:t>
            </w:r>
          </w:p>
        </w:tc>
        <w:tc>
          <w:tcPr>
            <w:tcW w:w="3814" w:type="dxa"/>
            <w:tcBorders>
              <w:top w:val="single" w:sz="6" w:space="0" w:color="auto"/>
              <w:left w:val="single" w:sz="6" w:space="0" w:color="auto"/>
              <w:right w:val="single" w:sz="6" w:space="0" w:color="auto"/>
            </w:tcBorders>
          </w:tcPr>
          <w:p w14:paraId="50A0F34F"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CUENTA</w:t>
            </w:r>
          </w:p>
        </w:tc>
      </w:tr>
      <w:tr w:rsidR="00CD459A" w:rsidRPr="00CD459A" w14:paraId="2872018B" w14:textId="77777777" w:rsidTr="003B74CE">
        <w:trPr>
          <w:cantSplit/>
        </w:trPr>
        <w:tc>
          <w:tcPr>
            <w:tcW w:w="2226" w:type="dxa"/>
            <w:tcBorders>
              <w:top w:val="single" w:sz="6" w:space="0" w:color="auto"/>
              <w:left w:val="single" w:sz="6" w:space="0" w:color="auto"/>
              <w:bottom w:val="single" w:sz="6" w:space="0" w:color="auto"/>
              <w:right w:val="single" w:sz="6" w:space="0" w:color="auto"/>
            </w:tcBorders>
            <w:shd w:val="pct25" w:color="auto" w:fill="auto"/>
          </w:tcPr>
          <w:p w14:paraId="0E779E5B"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1</w:t>
            </w:r>
          </w:p>
        </w:tc>
        <w:tc>
          <w:tcPr>
            <w:tcW w:w="2751" w:type="dxa"/>
            <w:tcBorders>
              <w:top w:val="single" w:sz="6" w:space="0" w:color="auto"/>
              <w:left w:val="single" w:sz="6" w:space="0" w:color="auto"/>
              <w:bottom w:val="single" w:sz="6" w:space="0" w:color="auto"/>
              <w:right w:val="single" w:sz="6" w:space="0" w:color="auto"/>
            </w:tcBorders>
          </w:tcPr>
          <w:p w14:paraId="1E02CA2C" w14:textId="77777777" w:rsidR="007C7EF4" w:rsidRPr="00CD459A" w:rsidRDefault="007C7EF4" w:rsidP="003B74CE">
            <w:pPr>
              <w:pStyle w:val="cuadro"/>
              <w:spacing w:line="240" w:lineRule="auto"/>
              <w:ind w:right="51"/>
              <w:jc w:val="both"/>
              <w:rPr>
                <w:rFonts w:ascii="Verdana" w:hAnsi="Verdana" w:cs="Arial"/>
                <w:sz w:val="22"/>
                <w:szCs w:val="22"/>
              </w:rPr>
            </w:pPr>
          </w:p>
        </w:tc>
        <w:tc>
          <w:tcPr>
            <w:tcW w:w="3814" w:type="dxa"/>
            <w:tcBorders>
              <w:top w:val="single" w:sz="6" w:space="0" w:color="auto"/>
              <w:left w:val="single" w:sz="6" w:space="0" w:color="auto"/>
              <w:bottom w:val="single" w:sz="6" w:space="0" w:color="auto"/>
              <w:right w:val="single" w:sz="6" w:space="0" w:color="auto"/>
            </w:tcBorders>
          </w:tcPr>
          <w:p w14:paraId="6C12CDE7" w14:textId="77777777" w:rsidR="007C7EF4" w:rsidRPr="00CD459A" w:rsidRDefault="007C7EF4" w:rsidP="003B74CE">
            <w:pPr>
              <w:pStyle w:val="cuadro"/>
              <w:spacing w:line="240" w:lineRule="auto"/>
              <w:ind w:right="51"/>
              <w:jc w:val="both"/>
              <w:rPr>
                <w:rFonts w:ascii="Verdana" w:hAnsi="Verdana" w:cs="Arial"/>
                <w:sz w:val="22"/>
                <w:szCs w:val="22"/>
              </w:rPr>
            </w:pPr>
          </w:p>
        </w:tc>
      </w:tr>
      <w:tr w:rsidR="00CD459A" w:rsidRPr="00CD459A" w14:paraId="7680ADEF" w14:textId="77777777" w:rsidTr="003B74CE">
        <w:trPr>
          <w:cantSplit/>
        </w:trPr>
        <w:tc>
          <w:tcPr>
            <w:tcW w:w="2226" w:type="dxa"/>
            <w:tcBorders>
              <w:left w:val="single" w:sz="6" w:space="0" w:color="auto"/>
              <w:bottom w:val="single" w:sz="6" w:space="0" w:color="auto"/>
              <w:right w:val="single" w:sz="6" w:space="0" w:color="auto"/>
            </w:tcBorders>
            <w:shd w:val="pct25" w:color="auto" w:fill="auto"/>
          </w:tcPr>
          <w:p w14:paraId="38B1F741"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ACTIVOS</w:t>
            </w:r>
          </w:p>
        </w:tc>
        <w:tc>
          <w:tcPr>
            <w:tcW w:w="2751" w:type="dxa"/>
            <w:tcBorders>
              <w:left w:val="single" w:sz="6" w:space="0" w:color="auto"/>
              <w:bottom w:val="single" w:sz="6" w:space="0" w:color="auto"/>
              <w:right w:val="single" w:sz="6" w:space="0" w:color="auto"/>
            </w:tcBorders>
          </w:tcPr>
          <w:p w14:paraId="1E675693" w14:textId="77777777" w:rsidR="007C7EF4" w:rsidRPr="00CD459A" w:rsidRDefault="007C7EF4" w:rsidP="003B74CE">
            <w:pPr>
              <w:pStyle w:val="cuadro"/>
              <w:spacing w:line="240" w:lineRule="auto"/>
              <w:ind w:right="51"/>
              <w:jc w:val="both"/>
              <w:rPr>
                <w:rFonts w:ascii="Verdana" w:hAnsi="Verdana" w:cs="Arial"/>
                <w:sz w:val="22"/>
                <w:szCs w:val="22"/>
              </w:rPr>
            </w:pPr>
          </w:p>
        </w:tc>
        <w:tc>
          <w:tcPr>
            <w:tcW w:w="3814" w:type="dxa"/>
            <w:tcBorders>
              <w:left w:val="single" w:sz="6" w:space="0" w:color="auto"/>
              <w:bottom w:val="single" w:sz="6" w:space="0" w:color="auto"/>
              <w:right w:val="single" w:sz="6" w:space="0" w:color="auto"/>
            </w:tcBorders>
          </w:tcPr>
          <w:p w14:paraId="7D7116B2" w14:textId="77777777" w:rsidR="007C7EF4" w:rsidRPr="00CD459A" w:rsidRDefault="007C7EF4" w:rsidP="003B74CE">
            <w:pPr>
              <w:pStyle w:val="cuadro"/>
              <w:spacing w:line="240" w:lineRule="auto"/>
              <w:ind w:right="51"/>
              <w:jc w:val="both"/>
              <w:rPr>
                <w:rFonts w:ascii="Verdana" w:hAnsi="Verdana" w:cs="Arial"/>
                <w:sz w:val="22"/>
                <w:szCs w:val="22"/>
              </w:rPr>
            </w:pPr>
          </w:p>
        </w:tc>
      </w:tr>
    </w:tbl>
    <w:p w14:paraId="419DB305" w14:textId="77777777" w:rsidR="007C7EF4" w:rsidRPr="00CD459A" w:rsidRDefault="007C7EF4" w:rsidP="007C7EF4">
      <w:pPr>
        <w:pStyle w:val="Default"/>
        <w:jc w:val="both"/>
        <w:rPr>
          <w:rFonts w:ascii="Verdana" w:hAnsi="Verdana"/>
          <w:bCs/>
          <w:color w:val="auto"/>
          <w:sz w:val="22"/>
          <w:szCs w:val="22"/>
        </w:rPr>
      </w:pPr>
    </w:p>
    <w:p w14:paraId="6CB32D8B" w14:textId="77777777" w:rsidR="00AB3D96" w:rsidRDefault="00AB3D96" w:rsidP="007C7EF4">
      <w:pPr>
        <w:tabs>
          <w:tab w:val="left" w:pos="-720"/>
          <w:tab w:val="left" w:pos="1134"/>
        </w:tabs>
        <w:suppressAutoHyphens/>
        <w:ind w:right="51"/>
        <w:jc w:val="both"/>
        <w:rPr>
          <w:rFonts w:ascii="Verdana" w:hAnsi="Verdana" w:cs="Arial"/>
        </w:rPr>
      </w:pPr>
    </w:p>
    <w:p w14:paraId="3CE807F6" w14:textId="2A146D55" w:rsidR="007C7EF4" w:rsidRPr="00CD459A" w:rsidRDefault="007C7EF4" w:rsidP="007C7EF4">
      <w:pPr>
        <w:tabs>
          <w:tab w:val="left" w:pos="-720"/>
          <w:tab w:val="left" w:pos="1134"/>
        </w:tabs>
        <w:suppressAutoHyphens/>
        <w:ind w:right="51"/>
        <w:jc w:val="both"/>
        <w:rPr>
          <w:rFonts w:ascii="Verdana" w:hAnsi="Verdana" w:cs="Arial"/>
        </w:rPr>
      </w:pPr>
      <w:r w:rsidRPr="00CD459A">
        <w:rPr>
          <w:rFonts w:ascii="Verdana" w:hAnsi="Verdana" w:cs="Arial"/>
        </w:rPr>
        <w:t>DESCRIPCIÓN</w:t>
      </w:r>
    </w:p>
    <w:p w14:paraId="33849580" w14:textId="77777777" w:rsidR="007C7EF4" w:rsidRPr="00CD459A" w:rsidRDefault="007C7EF4" w:rsidP="007C7EF4">
      <w:pPr>
        <w:pStyle w:val="elisa"/>
        <w:tabs>
          <w:tab w:val="left" w:pos="1134"/>
        </w:tabs>
        <w:suppressAutoHyphens/>
        <w:ind w:left="0" w:right="51"/>
        <w:rPr>
          <w:rFonts w:ascii="Verdana" w:hAnsi="Verdana" w:cs="Arial"/>
          <w:sz w:val="22"/>
          <w:szCs w:val="22"/>
        </w:rPr>
      </w:pPr>
      <w:r w:rsidRPr="00CD459A">
        <w:rPr>
          <w:rFonts w:ascii="Verdana" w:hAnsi="Verdana" w:cs="Arial"/>
          <w:sz w:val="22"/>
          <w:szCs w:val="22"/>
        </w:rPr>
        <w:t xml:space="preserve">En esta denominación se incluyen los grupos que representan los bienes y derechos, tangibles e intangibles, de la entidad contable pública obtenidos como consecuencia de hechos pasados, y de los cuales se espera que fluyan a la entidad contable pública un potencial de servicios o beneficios económicos futuros en desarrollo de sus funciones de cometido estatal. Estos bienes y derechos se originan en las disposiciones legales, en los negocios jurídicos y en los actos o hechos que los generan. Desde el punto de vista económico, surgen como consecuencia de transacciones que implican el incremento de los pasivos, el patrimonio o la realización de ingresos.  También constituyen activos los bienes públicos que están bajo la responsabilidad de las entidades contables públicas pertenecientes al gobierno general.  Las cuentas que integran esta clase son de naturaleza débito. </w:t>
      </w:r>
    </w:p>
    <w:p w14:paraId="00681244" w14:textId="77777777" w:rsidR="007C7EF4" w:rsidRPr="00CD459A" w:rsidRDefault="007C7EF4" w:rsidP="007C7EF4">
      <w:pPr>
        <w:pStyle w:val="Default"/>
        <w:jc w:val="both"/>
        <w:rPr>
          <w:rFonts w:ascii="Verdana" w:hAnsi="Verdana"/>
          <w:bCs/>
          <w:color w:val="auto"/>
          <w:sz w:val="22"/>
          <w:szCs w:val="22"/>
          <w:lang w:val="es-ES_tradnl"/>
        </w:rPr>
      </w:pPr>
    </w:p>
    <w:tbl>
      <w:tblPr>
        <w:tblW w:w="0" w:type="auto"/>
        <w:tblInd w:w="129" w:type="dxa"/>
        <w:tblLayout w:type="fixed"/>
        <w:tblCellMar>
          <w:left w:w="127" w:type="dxa"/>
          <w:right w:w="127" w:type="dxa"/>
        </w:tblCellMar>
        <w:tblLook w:val="0000" w:firstRow="0" w:lastRow="0" w:firstColumn="0" w:lastColumn="0" w:noHBand="0" w:noVBand="0"/>
      </w:tblPr>
      <w:tblGrid>
        <w:gridCol w:w="2408"/>
        <w:gridCol w:w="3119"/>
        <w:gridCol w:w="3260"/>
      </w:tblGrid>
      <w:tr w:rsidR="00CD459A" w:rsidRPr="00CD459A" w14:paraId="6504D93E" w14:textId="77777777" w:rsidTr="003B74CE">
        <w:trPr>
          <w:cantSplit/>
        </w:trPr>
        <w:tc>
          <w:tcPr>
            <w:tcW w:w="2408" w:type="dxa"/>
            <w:tcBorders>
              <w:top w:val="single" w:sz="6" w:space="0" w:color="auto"/>
              <w:left w:val="single" w:sz="6" w:space="0" w:color="auto"/>
              <w:right w:val="single" w:sz="6" w:space="0" w:color="auto"/>
            </w:tcBorders>
          </w:tcPr>
          <w:p w14:paraId="3391681C"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CLASE</w:t>
            </w:r>
          </w:p>
        </w:tc>
        <w:tc>
          <w:tcPr>
            <w:tcW w:w="3119" w:type="dxa"/>
            <w:tcBorders>
              <w:top w:val="single" w:sz="6" w:space="0" w:color="auto"/>
              <w:left w:val="single" w:sz="6" w:space="0" w:color="auto"/>
              <w:right w:val="single" w:sz="6" w:space="0" w:color="auto"/>
            </w:tcBorders>
          </w:tcPr>
          <w:p w14:paraId="6C53D6DB"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GRUPO</w:t>
            </w:r>
          </w:p>
        </w:tc>
        <w:tc>
          <w:tcPr>
            <w:tcW w:w="3260" w:type="dxa"/>
            <w:tcBorders>
              <w:top w:val="single" w:sz="6" w:space="0" w:color="auto"/>
              <w:left w:val="single" w:sz="6" w:space="0" w:color="auto"/>
              <w:right w:val="single" w:sz="6" w:space="0" w:color="auto"/>
            </w:tcBorders>
          </w:tcPr>
          <w:p w14:paraId="6766923B" w14:textId="77777777" w:rsidR="007C7EF4" w:rsidRPr="00CD459A" w:rsidRDefault="007C7EF4" w:rsidP="003B74CE">
            <w:pPr>
              <w:pStyle w:val="cuadro"/>
              <w:spacing w:line="240" w:lineRule="auto"/>
              <w:ind w:right="51"/>
              <w:rPr>
                <w:rFonts w:ascii="Verdana" w:hAnsi="Verdana" w:cs="Arial"/>
                <w:b/>
                <w:bCs/>
                <w:sz w:val="22"/>
                <w:szCs w:val="22"/>
              </w:rPr>
            </w:pPr>
            <w:r w:rsidRPr="00CD459A">
              <w:rPr>
                <w:rFonts w:ascii="Verdana" w:hAnsi="Verdana" w:cs="Arial"/>
                <w:b/>
                <w:bCs/>
                <w:sz w:val="22"/>
                <w:szCs w:val="22"/>
              </w:rPr>
              <w:t>CUENTA</w:t>
            </w:r>
          </w:p>
        </w:tc>
      </w:tr>
      <w:tr w:rsidR="00CD459A" w:rsidRPr="00CD459A" w14:paraId="779AE071" w14:textId="77777777" w:rsidTr="003B74CE">
        <w:trPr>
          <w:cantSplit/>
        </w:trPr>
        <w:tc>
          <w:tcPr>
            <w:tcW w:w="2408" w:type="dxa"/>
            <w:tcBorders>
              <w:top w:val="single" w:sz="6" w:space="0" w:color="auto"/>
              <w:left w:val="single" w:sz="6" w:space="0" w:color="auto"/>
              <w:bottom w:val="single" w:sz="6" w:space="0" w:color="auto"/>
              <w:right w:val="single" w:sz="6" w:space="0" w:color="auto"/>
            </w:tcBorders>
          </w:tcPr>
          <w:p w14:paraId="060F0A60"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1</w:t>
            </w:r>
          </w:p>
        </w:tc>
        <w:tc>
          <w:tcPr>
            <w:tcW w:w="3119" w:type="dxa"/>
            <w:tcBorders>
              <w:top w:val="single" w:sz="6" w:space="0" w:color="auto"/>
              <w:left w:val="single" w:sz="6" w:space="0" w:color="auto"/>
              <w:bottom w:val="single" w:sz="6" w:space="0" w:color="auto"/>
              <w:right w:val="single" w:sz="6" w:space="0" w:color="auto"/>
            </w:tcBorders>
            <w:shd w:val="pct20" w:color="auto" w:fill="auto"/>
          </w:tcPr>
          <w:p w14:paraId="0A0DB91B"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11</w:t>
            </w:r>
          </w:p>
        </w:tc>
        <w:tc>
          <w:tcPr>
            <w:tcW w:w="3260" w:type="dxa"/>
            <w:tcBorders>
              <w:top w:val="single" w:sz="6" w:space="0" w:color="auto"/>
              <w:left w:val="single" w:sz="6" w:space="0" w:color="auto"/>
              <w:bottom w:val="single" w:sz="6" w:space="0" w:color="auto"/>
              <w:right w:val="single" w:sz="6" w:space="0" w:color="auto"/>
            </w:tcBorders>
          </w:tcPr>
          <w:p w14:paraId="4B82E513" w14:textId="77777777" w:rsidR="007C7EF4" w:rsidRPr="00CD459A" w:rsidRDefault="007C7EF4" w:rsidP="003B74CE">
            <w:pPr>
              <w:pStyle w:val="cuadro"/>
              <w:spacing w:line="240" w:lineRule="auto"/>
              <w:ind w:right="51"/>
              <w:jc w:val="both"/>
              <w:rPr>
                <w:rFonts w:ascii="Verdana" w:hAnsi="Verdana" w:cs="Arial"/>
                <w:sz w:val="22"/>
                <w:szCs w:val="22"/>
              </w:rPr>
            </w:pPr>
          </w:p>
        </w:tc>
      </w:tr>
      <w:tr w:rsidR="00CD459A" w:rsidRPr="00CD459A" w14:paraId="77117E5C" w14:textId="77777777" w:rsidTr="003B74CE">
        <w:trPr>
          <w:cantSplit/>
        </w:trPr>
        <w:tc>
          <w:tcPr>
            <w:tcW w:w="2408" w:type="dxa"/>
            <w:tcBorders>
              <w:left w:val="single" w:sz="6" w:space="0" w:color="auto"/>
              <w:bottom w:val="single" w:sz="6" w:space="0" w:color="auto"/>
              <w:right w:val="single" w:sz="6" w:space="0" w:color="auto"/>
            </w:tcBorders>
          </w:tcPr>
          <w:p w14:paraId="0BA14764"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ACTIVOS</w:t>
            </w:r>
          </w:p>
        </w:tc>
        <w:tc>
          <w:tcPr>
            <w:tcW w:w="3119" w:type="dxa"/>
            <w:tcBorders>
              <w:left w:val="single" w:sz="6" w:space="0" w:color="auto"/>
              <w:bottom w:val="single" w:sz="6" w:space="0" w:color="auto"/>
              <w:right w:val="single" w:sz="6" w:space="0" w:color="auto"/>
            </w:tcBorders>
            <w:shd w:val="pct20" w:color="auto" w:fill="auto"/>
          </w:tcPr>
          <w:p w14:paraId="453C7004" w14:textId="77777777" w:rsidR="007C7EF4" w:rsidRPr="00CD459A" w:rsidRDefault="007C7EF4" w:rsidP="003B74CE">
            <w:pPr>
              <w:pStyle w:val="cuadro"/>
              <w:spacing w:line="240" w:lineRule="auto"/>
              <w:ind w:right="51"/>
              <w:jc w:val="both"/>
              <w:rPr>
                <w:rFonts w:ascii="Verdana" w:hAnsi="Verdana" w:cs="Arial"/>
                <w:sz w:val="22"/>
                <w:szCs w:val="22"/>
              </w:rPr>
            </w:pPr>
            <w:r w:rsidRPr="00CD459A">
              <w:rPr>
                <w:rFonts w:ascii="Verdana" w:hAnsi="Verdana" w:cs="Arial"/>
                <w:sz w:val="22"/>
                <w:szCs w:val="22"/>
              </w:rPr>
              <w:t>EFECTIVO</w:t>
            </w:r>
          </w:p>
        </w:tc>
        <w:tc>
          <w:tcPr>
            <w:tcW w:w="3260" w:type="dxa"/>
            <w:tcBorders>
              <w:left w:val="single" w:sz="6" w:space="0" w:color="auto"/>
              <w:bottom w:val="single" w:sz="6" w:space="0" w:color="auto"/>
              <w:right w:val="single" w:sz="6" w:space="0" w:color="auto"/>
            </w:tcBorders>
          </w:tcPr>
          <w:p w14:paraId="3AA21522" w14:textId="77777777" w:rsidR="007C7EF4" w:rsidRPr="00CD459A" w:rsidRDefault="007C7EF4" w:rsidP="003B74CE">
            <w:pPr>
              <w:pStyle w:val="cuadro"/>
              <w:spacing w:line="240" w:lineRule="auto"/>
              <w:ind w:right="51"/>
              <w:jc w:val="both"/>
              <w:rPr>
                <w:rFonts w:ascii="Verdana" w:hAnsi="Verdana" w:cs="Arial"/>
                <w:sz w:val="22"/>
                <w:szCs w:val="22"/>
              </w:rPr>
            </w:pPr>
          </w:p>
        </w:tc>
      </w:tr>
    </w:tbl>
    <w:p w14:paraId="7529746C" w14:textId="77777777" w:rsidR="007C7EF4" w:rsidRPr="00CD459A" w:rsidRDefault="007C7EF4" w:rsidP="007C7EF4">
      <w:pPr>
        <w:suppressLineNumbers/>
        <w:tabs>
          <w:tab w:val="left" w:pos="-720"/>
          <w:tab w:val="left" w:pos="1134"/>
        </w:tabs>
        <w:ind w:right="51"/>
        <w:jc w:val="both"/>
        <w:rPr>
          <w:rFonts w:ascii="Verdana" w:hAnsi="Verdana" w:cs="Arial"/>
        </w:rPr>
      </w:pPr>
    </w:p>
    <w:p w14:paraId="52644DBE" w14:textId="77777777" w:rsidR="007C7EF4" w:rsidRPr="00CD459A" w:rsidRDefault="007C7EF4" w:rsidP="007C7EF4">
      <w:pPr>
        <w:tabs>
          <w:tab w:val="left" w:pos="-720"/>
          <w:tab w:val="left" w:pos="1134"/>
        </w:tabs>
        <w:suppressAutoHyphens/>
        <w:ind w:right="51"/>
        <w:jc w:val="both"/>
        <w:rPr>
          <w:rFonts w:ascii="Verdana" w:hAnsi="Verdana" w:cs="Arial"/>
        </w:rPr>
      </w:pPr>
      <w:r w:rsidRPr="00CD459A">
        <w:rPr>
          <w:rFonts w:ascii="Verdana" w:hAnsi="Verdana" w:cs="Arial"/>
        </w:rPr>
        <w:t>DESCRIPCIÓN</w:t>
      </w:r>
    </w:p>
    <w:p w14:paraId="4BDF2FFE" w14:textId="77777777" w:rsidR="007C7EF4" w:rsidRPr="00CD459A" w:rsidRDefault="007C7EF4" w:rsidP="007C7EF4">
      <w:pPr>
        <w:pStyle w:val="elisa"/>
        <w:tabs>
          <w:tab w:val="left" w:pos="1134"/>
        </w:tabs>
        <w:suppressAutoHyphens/>
        <w:ind w:left="0" w:right="51"/>
        <w:rPr>
          <w:rFonts w:ascii="Verdana" w:hAnsi="Verdana" w:cs="Arial"/>
          <w:sz w:val="22"/>
          <w:szCs w:val="22"/>
        </w:rPr>
      </w:pPr>
      <w:r w:rsidRPr="00CD459A">
        <w:rPr>
          <w:rFonts w:ascii="Verdana" w:hAnsi="Verdana" w:cs="Arial"/>
          <w:sz w:val="22"/>
          <w:szCs w:val="22"/>
        </w:rPr>
        <w:t xml:space="preserve">En esta denominación se incluyen las cuentas representativas de los recursos de liquidez inmediata en la caja, cuentas corrientes, de ahorro y en fondos, disponibles para el desarrollo de las funciones de cometido estatal de la entidad contable pública. </w:t>
      </w:r>
    </w:p>
    <w:p w14:paraId="4C40F76B" w14:textId="77777777" w:rsidR="007C7EF4" w:rsidRPr="00CD459A" w:rsidRDefault="007C7EF4" w:rsidP="007C7EF4">
      <w:pPr>
        <w:pStyle w:val="elisa"/>
        <w:tabs>
          <w:tab w:val="left" w:pos="1134"/>
        </w:tabs>
        <w:suppressAutoHyphens/>
        <w:ind w:left="0" w:right="51"/>
        <w:rPr>
          <w:rFonts w:ascii="Verdana" w:hAnsi="Verdana" w:cs="Arial"/>
          <w:sz w:val="22"/>
          <w:szCs w:val="22"/>
        </w:rPr>
      </w:pPr>
    </w:p>
    <w:p w14:paraId="73609D08" w14:textId="77777777" w:rsidR="007C7EF4" w:rsidRPr="00CD459A" w:rsidRDefault="007C7EF4" w:rsidP="007C7EF4">
      <w:pPr>
        <w:suppressLineNumbers/>
        <w:tabs>
          <w:tab w:val="left" w:pos="-720"/>
          <w:tab w:val="left" w:pos="1134"/>
        </w:tabs>
        <w:ind w:right="51"/>
        <w:jc w:val="both"/>
        <w:rPr>
          <w:rFonts w:ascii="Verdana" w:hAnsi="Verdana" w:cs="Arial"/>
        </w:rPr>
      </w:pPr>
      <w:r w:rsidRPr="00CD459A">
        <w:rPr>
          <w:rFonts w:ascii="Verdana" w:hAnsi="Verdana" w:cs="Arial"/>
        </w:rPr>
        <w:t>Así mismo incluye los recursos disponibles en la Dirección General de Crédito Público y del Tesoro Nacional a través de la cuenta única nacional, y las reservas internacionales para el caso del Banco de la República.</w:t>
      </w:r>
    </w:p>
    <w:p w14:paraId="5C7541F4" w14:textId="77777777" w:rsidR="007C7EF4" w:rsidRPr="00CD459A" w:rsidRDefault="007C7EF4" w:rsidP="007C7EF4">
      <w:pPr>
        <w:jc w:val="both"/>
        <w:rPr>
          <w:rFonts w:ascii="Verdana" w:hAnsi="Verdana" w:cs="Arial"/>
        </w:rPr>
      </w:pPr>
    </w:p>
    <w:p w14:paraId="197005D5" w14:textId="77777777" w:rsidR="007C7EF4" w:rsidRPr="00CD459A" w:rsidRDefault="007C7EF4" w:rsidP="007C7EF4">
      <w:pPr>
        <w:jc w:val="both"/>
        <w:rPr>
          <w:rFonts w:ascii="Verdana" w:hAnsi="Verdana" w:cs="Arial"/>
        </w:rPr>
      </w:pPr>
      <w:r w:rsidRPr="00CD459A">
        <w:rPr>
          <w:rFonts w:ascii="Verdana" w:hAnsi="Verdana" w:cs="Arial"/>
        </w:rPr>
        <w:t>OBJETIVO</w:t>
      </w:r>
    </w:p>
    <w:p w14:paraId="799C8E3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del efectivo y equivalentes al efectivo en los Estados Financieros del Sistema General de Regalías. </w:t>
      </w:r>
    </w:p>
    <w:p w14:paraId="060821DB" w14:textId="77777777" w:rsidR="007C7EF4" w:rsidRPr="00CD459A" w:rsidRDefault="007C7EF4" w:rsidP="007C7EF4">
      <w:pPr>
        <w:jc w:val="both"/>
        <w:rPr>
          <w:rFonts w:ascii="Verdana" w:hAnsi="Verdana" w:cs="Arial"/>
        </w:rPr>
      </w:pPr>
    </w:p>
    <w:p w14:paraId="0107949F" w14:textId="77777777" w:rsidR="007C7EF4" w:rsidRPr="00CD459A" w:rsidRDefault="007C7EF4" w:rsidP="007C7EF4">
      <w:pPr>
        <w:jc w:val="both"/>
        <w:rPr>
          <w:rFonts w:ascii="Verdana" w:hAnsi="Verdana" w:cs="Arial"/>
        </w:rPr>
      </w:pPr>
      <w:r w:rsidRPr="00CD459A">
        <w:rPr>
          <w:rFonts w:ascii="Verdana" w:hAnsi="Verdana" w:cs="Arial"/>
        </w:rPr>
        <w:t>ALCANCE</w:t>
      </w:r>
    </w:p>
    <w:p w14:paraId="35A7DFD4"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Esta política se aplicará en la contabilización del efectivo y equivalentes al efectivo del SGR.</w:t>
      </w:r>
    </w:p>
    <w:p w14:paraId="359B7467" w14:textId="77777777" w:rsidR="007C7EF4" w:rsidRPr="00CD459A" w:rsidRDefault="007C7EF4" w:rsidP="007C7EF4">
      <w:pPr>
        <w:jc w:val="both"/>
        <w:rPr>
          <w:rFonts w:ascii="Verdana" w:hAnsi="Verdana" w:cs="Arial"/>
          <w:lang w:val="es-ES_tradnl" w:eastAsia="es-CO"/>
        </w:rPr>
      </w:pPr>
      <w:bookmarkStart w:id="759" w:name="_Toc515549338"/>
      <w:bookmarkStart w:id="760" w:name="_Toc515549732"/>
      <w:bookmarkStart w:id="761" w:name="_Toc520127194"/>
      <w:bookmarkStart w:id="762" w:name="_Toc529890263"/>
      <w:r w:rsidRPr="00CD459A">
        <w:rPr>
          <w:rFonts w:ascii="Verdana" w:hAnsi="Verdana" w:cs="Arial"/>
          <w:lang w:val="es-ES_tradnl" w:eastAsia="es-CO"/>
        </w:rPr>
        <w:t>REFERENCIA A MARCO NORMATIVO DE ENTIDADES DE GOBIERNO</w:t>
      </w:r>
      <w:bookmarkEnd w:id="759"/>
      <w:bookmarkEnd w:id="760"/>
      <w:bookmarkEnd w:id="761"/>
      <w:bookmarkEnd w:id="762"/>
      <w:r w:rsidRPr="00CD459A">
        <w:rPr>
          <w:rFonts w:ascii="Verdana" w:hAnsi="Verdana" w:cs="Arial"/>
          <w:lang w:val="es-ES_tradnl" w:eastAsia="es-CO"/>
        </w:rPr>
        <w:t xml:space="preserve"> </w:t>
      </w:r>
    </w:p>
    <w:tbl>
      <w:tblPr>
        <w:tblW w:w="0" w:type="auto"/>
        <w:jc w:val="center"/>
        <w:tblBorders>
          <w:bottom w:val="single" w:sz="12" w:space="0" w:color="000000"/>
        </w:tblBorders>
        <w:tblLook w:val="0420" w:firstRow="1" w:lastRow="0" w:firstColumn="0" w:lastColumn="0" w:noHBand="0" w:noVBand="1"/>
      </w:tblPr>
      <w:tblGrid>
        <w:gridCol w:w="4671"/>
        <w:gridCol w:w="4167"/>
      </w:tblGrid>
      <w:tr w:rsidR="00CD459A" w:rsidRPr="00CD459A" w14:paraId="764DD246" w14:textId="77777777" w:rsidTr="00AB3D96">
        <w:trPr>
          <w:jc w:val="center"/>
        </w:trPr>
        <w:tc>
          <w:tcPr>
            <w:tcW w:w="4671" w:type="dxa"/>
            <w:tcBorders>
              <w:bottom w:val="single" w:sz="12" w:space="0" w:color="000000"/>
            </w:tcBorders>
            <w:shd w:val="solid" w:color="2F5395" w:fill="FFFFFF"/>
            <w:vAlign w:val="center"/>
          </w:tcPr>
          <w:p w14:paraId="0B9834A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167" w:type="dxa"/>
            <w:tcBorders>
              <w:bottom w:val="single" w:sz="12" w:space="0" w:color="000000"/>
            </w:tcBorders>
            <w:shd w:val="solid" w:color="2F5395" w:fill="FFFFFF"/>
            <w:vAlign w:val="center"/>
          </w:tcPr>
          <w:p w14:paraId="692973D6"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79208626" w14:textId="77777777" w:rsidTr="00AB3D96">
        <w:trPr>
          <w:jc w:val="center"/>
        </w:trPr>
        <w:tc>
          <w:tcPr>
            <w:tcW w:w="4671" w:type="dxa"/>
            <w:tcBorders>
              <w:top w:val="single" w:sz="12" w:space="0" w:color="000000"/>
              <w:bottom w:val="nil"/>
            </w:tcBorders>
            <w:shd w:val="pct20" w:color="FFFFFF" w:fill="FFFFFF"/>
          </w:tcPr>
          <w:p w14:paraId="2288B919" w14:textId="77777777" w:rsidR="007C7EF4" w:rsidRPr="00CD459A" w:rsidRDefault="007C7EF4" w:rsidP="00AB3D96">
            <w:pPr>
              <w:numPr>
                <w:ilvl w:val="0"/>
                <w:numId w:val="21"/>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167" w:type="dxa"/>
            <w:tcBorders>
              <w:top w:val="single" w:sz="12" w:space="0" w:color="000000"/>
              <w:bottom w:val="nil"/>
            </w:tcBorders>
            <w:shd w:val="pct20" w:color="FFFFFF" w:fill="FFFFFF"/>
          </w:tcPr>
          <w:p w14:paraId="7231BCAF" w14:textId="77777777" w:rsidR="007C7EF4" w:rsidRPr="00CD459A" w:rsidRDefault="007C7EF4" w:rsidP="00AB3D96">
            <w:pPr>
              <w:numPr>
                <w:ilvl w:val="0"/>
                <w:numId w:val="21"/>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Grupo 11 / Efectivo y equivalentes al efectivo  </w:t>
            </w:r>
          </w:p>
        </w:tc>
      </w:tr>
      <w:tr w:rsidR="00CD459A" w:rsidRPr="00CD459A" w14:paraId="6D8215C4" w14:textId="77777777" w:rsidTr="00AB3D96">
        <w:trPr>
          <w:jc w:val="center"/>
        </w:trPr>
        <w:tc>
          <w:tcPr>
            <w:tcW w:w="4671" w:type="dxa"/>
            <w:tcBorders>
              <w:bottom w:val="single" w:sz="12" w:space="0" w:color="000000"/>
            </w:tcBorders>
            <w:shd w:val="pct20" w:color="FFFFFF" w:fill="FFFFFF"/>
          </w:tcPr>
          <w:p w14:paraId="6FC75451" w14:textId="77777777" w:rsidR="007C7EF4" w:rsidRPr="00CD459A" w:rsidRDefault="007C7EF4" w:rsidP="003B74CE">
            <w:pPr>
              <w:ind w:left="360"/>
              <w:jc w:val="both"/>
              <w:rPr>
                <w:rFonts w:ascii="Verdana" w:hAnsi="Verdana" w:cs="Arial"/>
                <w:lang w:val="es-ES_tradnl" w:eastAsia="es-CO"/>
              </w:rPr>
            </w:pPr>
          </w:p>
          <w:p w14:paraId="4CFA92A6" w14:textId="77777777" w:rsidR="007C7EF4" w:rsidRPr="00CD459A" w:rsidRDefault="007C7EF4" w:rsidP="00AB3D96">
            <w:pPr>
              <w:numPr>
                <w:ilvl w:val="0"/>
                <w:numId w:val="21"/>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167" w:type="dxa"/>
            <w:tcBorders>
              <w:bottom w:val="single" w:sz="12" w:space="0" w:color="000000"/>
            </w:tcBorders>
            <w:shd w:val="pct20" w:color="FFFFFF" w:fill="FFFFFF"/>
          </w:tcPr>
          <w:p w14:paraId="43D8C172" w14:textId="77777777" w:rsidR="007C7EF4" w:rsidRPr="00CD459A" w:rsidRDefault="007C7EF4" w:rsidP="00AB3D96">
            <w:pPr>
              <w:numPr>
                <w:ilvl w:val="0"/>
                <w:numId w:val="21"/>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Parte 2 / Normas / Capítulo 1 / Numeral 1 / Inversiones de administración de liquidez, Parte 2 / Normas / Capítulo VI / Normas para la presentación de Estados Financieros y Revelaciones- Estado de Flujos de efectivo.  </w:t>
            </w:r>
          </w:p>
        </w:tc>
      </w:tr>
    </w:tbl>
    <w:p w14:paraId="3289FADD" w14:textId="77777777" w:rsidR="007C7EF4" w:rsidRPr="00CD459A" w:rsidRDefault="007C7EF4" w:rsidP="007C7EF4">
      <w:pPr>
        <w:jc w:val="both"/>
        <w:rPr>
          <w:rFonts w:ascii="Verdana" w:hAnsi="Verdana" w:cs="Arial"/>
        </w:rPr>
      </w:pPr>
    </w:p>
    <w:p w14:paraId="7269B118"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531FB884"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tbl>
      <w:tblPr>
        <w:tblW w:w="0" w:type="auto"/>
        <w:jc w:val="center"/>
        <w:tblBorders>
          <w:bottom w:val="single" w:sz="12" w:space="0" w:color="000000"/>
        </w:tblBorders>
        <w:tblLook w:val="0420" w:firstRow="1" w:lastRow="0" w:firstColumn="0" w:lastColumn="0" w:noHBand="0" w:noVBand="1"/>
      </w:tblPr>
      <w:tblGrid>
        <w:gridCol w:w="2348"/>
        <w:gridCol w:w="6490"/>
      </w:tblGrid>
      <w:tr w:rsidR="00CD459A" w:rsidRPr="00CD459A" w14:paraId="39EF28C9" w14:textId="77777777" w:rsidTr="00AB3D96">
        <w:trPr>
          <w:jc w:val="center"/>
        </w:trPr>
        <w:tc>
          <w:tcPr>
            <w:tcW w:w="2348" w:type="dxa"/>
            <w:tcBorders>
              <w:bottom w:val="single" w:sz="12" w:space="0" w:color="000000"/>
            </w:tcBorders>
            <w:shd w:val="solid" w:color="2F5395" w:fill="FFFFFF"/>
            <w:vAlign w:val="center"/>
          </w:tcPr>
          <w:p w14:paraId="472C359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6490" w:type="dxa"/>
            <w:tcBorders>
              <w:bottom w:val="single" w:sz="12" w:space="0" w:color="000000"/>
            </w:tcBorders>
            <w:shd w:val="solid" w:color="2F5395" w:fill="FFFFFF"/>
            <w:vAlign w:val="center"/>
          </w:tcPr>
          <w:p w14:paraId="061049E2"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6EE86DC3" w14:textId="77777777" w:rsidTr="00AB3D96">
        <w:trPr>
          <w:trHeight w:val="474"/>
          <w:jc w:val="center"/>
        </w:trPr>
        <w:tc>
          <w:tcPr>
            <w:tcW w:w="2348" w:type="dxa"/>
            <w:tcBorders>
              <w:top w:val="single" w:sz="12" w:space="0" w:color="000000"/>
              <w:bottom w:val="single" w:sz="12" w:space="0" w:color="auto"/>
            </w:tcBorders>
            <w:shd w:val="pct20" w:color="FFFFFF" w:fill="FFFFFF"/>
            <w:vAlign w:val="center"/>
          </w:tcPr>
          <w:p w14:paraId="26FC7E03"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Grupo de Pagos y Cumplimientos </w:t>
            </w:r>
          </w:p>
        </w:tc>
        <w:tc>
          <w:tcPr>
            <w:tcW w:w="6490" w:type="dxa"/>
            <w:tcBorders>
              <w:top w:val="single" w:sz="12" w:space="0" w:color="000000"/>
              <w:bottom w:val="single" w:sz="12" w:space="0" w:color="auto"/>
            </w:tcBorders>
            <w:shd w:val="pct20" w:color="FFFFFF" w:fill="FFFFFF"/>
            <w:vAlign w:val="center"/>
          </w:tcPr>
          <w:p w14:paraId="3F7B0E82"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Gestionar los recursos </w:t>
            </w:r>
            <w:r w:rsidRPr="00CD459A">
              <w:rPr>
                <w:rFonts w:ascii="Verdana" w:hAnsi="Verdana" w:cs="Arial"/>
                <w:lang w:val="es-ES_tradnl" w:eastAsia="es-CO"/>
              </w:rPr>
              <w:t>para el pago de las obligaciones que serán canceladas a través de las cuentas bancarias del SGR.</w:t>
            </w:r>
            <w:r w:rsidRPr="00CD459A">
              <w:rPr>
                <w:rFonts w:ascii="Verdana" w:hAnsi="Verdana" w:cs="Arial"/>
                <w:bCs/>
                <w:lang w:val="es-ES_tradnl" w:eastAsia="es-CO"/>
              </w:rPr>
              <w:t xml:space="preserve"> </w:t>
            </w:r>
          </w:p>
        </w:tc>
      </w:tr>
      <w:tr w:rsidR="00CD459A" w:rsidRPr="00CD459A" w14:paraId="1620A1FA" w14:textId="77777777" w:rsidTr="00AB3D96">
        <w:trPr>
          <w:jc w:val="center"/>
        </w:trPr>
        <w:tc>
          <w:tcPr>
            <w:tcW w:w="2348" w:type="dxa"/>
            <w:tcBorders>
              <w:top w:val="single" w:sz="12" w:space="0" w:color="auto"/>
              <w:bottom w:val="single" w:sz="12" w:space="0" w:color="000000"/>
            </w:tcBorders>
            <w:shd w:val="pct20" w:color="FFFFFF" w:fill="FFFFFF"/>
            <w:vAlign w:val="center"/>
          </w:tcPr>
          <w:p w14:paraId="65C7B831"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Grupo de Mesa de Dinero</w:t>
            </w:r>
          </w:p>
        </w:tc>
        <w:tc>
          <w:tcPr>
            <w:tcW w:w="6490" w:type="dxa"/>
            <w:tcBorders>
              <w:top w:val="single" w:sz="12" w:space="0" w:color="auto"/>
              <w:bottom w:val="single" w:sz="12" w:space="0" w:color="000000"/>
            </w:tcBorders>
            <w:shd w:val="pct20" w:color="FFFFFF" w:fill="FFFFFF"/>
            <w:vAlign w:val="center"/>
          </w:tcPr>
          <w:p w14:paraId="39F20E70"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Remitir el detalle de las operaciones realizadas con los excedentes de liquidez del Sistema General de Regalias.  </w:t>
            </w:r>
          </w:p>
        </w:tc>
      </w:tr>
      <w:tr w:rsidR="00CD459A" w:rsidRPr="00CD459A" w14:paraId="64A2A7A0" w14:textId="77777777" w:rsidTr="00AB3D96">
        <w:trPr>
          <w:jc w:val="center"/>
        </w:trPr>
        <w:tc>
          <w:tcPr>
            <w:tcW w:w="2348" w:type="dxa"/>
            <w:tcBorders>
              <w:top w:val="single" w:sz="12" w:space="0" w:color="auto"/>
              <w:bottom w:val="single" w:sz="12" w:space="0" w:color="000000"/>
            </w:tcBorders>
            <w:shd w:val="pct20" w:color="FFFFFF" w:fill="FFFFFF"/>
            <w:vAlign w:val="center"/>
          </w:tcPr>
          <w:p w14:paraId="7CF2ABA3"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Grupo de Contabilidad</w:t>
            </w:r>
          </w:p>
        </w:tc>
        <w:tc>
          <w:tcPr>
            <w:tcW w:w="6490" w:type="dxa"/>
            <w:tcBorders>
              <w:top w:val="single" w:sz="12" w:space="0" w:color="auto"/>
              <w:bottom w:val="single" w:sz="12" w:space="0" w:color="000000"/>
            </w:tcBorders>
            <w:shd w:val="pct20" w:color="FFFFFF" w:fill="FFFFFF"/>
            <w:vAlign w:val="center"/>
          </w:tcPr>
          <w:p w14:paraId="04AF98C9"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Registrar en el SPGR los movimientos mensuales de las operaciones realizadas con los excedentes de liquidez. </w:t>
            </w:r>
          </w:p>
          <w:p w14:paraId="5F850134"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Validar los conceptos que integran la categoría de efectivo y equivalentes al efectivo. </w:t>
            </w:r>
          </w:p>
          <w:p w14:paraId="0C8C0BD9"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Registrar en el SPGR los movimientos mensuales de las cuentas bancarias del Sistema General de Regalías. </w:t>
            </w:r>
          </w:p>
          <w:p w14:paraId="73AF4325"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Elaborar las revelaciones que correspondan, en relación con el efectivo y equivalentes al efectivo </w:t>
            </w:r>
          </w:p>
          <w:p w14:paraId="25AFCEF1" w14:textId="77777777" w:rsidR="007C7EF4" w:rsidRPr="00CD459A" w:rsidRDefault="007C7EF4" w:rsidP="00AB3D96">
            <w:pPr>
              <w:numPr>
                <w:ilvl w:val="0"/>
                <w:numId w:val="22"/>
              </w:numPr>
              <w:spacing w:after="0" w:line="240" w:lineRule="auto"/>
              <w:ind w:left="360"/>
              <w:jc w:val="both"/>
              <w:rPr>
                <w:rFonts w:ascii="Verdana" w:hAnsi="Verdana" w:cs="Arial"/>
                <w:bCs/>
                <w:lang w:val="es-ES_tradnl" w:eastAsia="es-CO"/>
              </w:rPr>
            </w:pPr>
            <w:r w:rsidRPr="00CD459A">
              <w:rPr>
                <w:rFonts w:ascii="Verdana" w:hAnsi="Verdana" w:cs="Arial"/>
                <w:bCs/>
                <w:lang w:val="es-ES_tradnl" w:eastAsia="es-CO"/>
              </w:rPr>
              <w:t xml:space="preserve">Mensualmente, se realiza las Conciliaciones bancarias de las cuentas del Sistema General de Regalias. </w:t>
            </w:r>
          </w:p>
        </w:tc>
      </w:tr>
    </w:tbl>
    <w:p w14:paraId="4F05882E" w14:textId="77777777" w:rsidR="007C7EF4" w:rsidRPr="00CD459A" w:rsidRDefault="007C7EF4" w:rsidP="007C7EF4">
      <w:pPr>
        <w:jc w:val="both"/>
        <w:rPr>
          <w:rFonts w:ascii="Verdana" w:hAnsi="Verdana" w:cs="Arial"/>
        </w:rPr>
      </w:pPr>
    </w:p>
    <w:tbl>
      <w:tblPr>
        <w:tblW w:w="8787" w:type="dxa"/>
        <w:tblInd w:w="129" w:type="dxa"/>
        <w:tblLayout w:type="fixed"/>
        <w:tblCellMar>
          <w:left w:w="127" w:type="dxa"/>
          <w:right w:w="127" w:type="dxa"/>
        </w:tblCellMar>
        <w:tblLook w:val="0000" w:firstRow="0" w:lastRow="0" w:firstColumn="0" w:lastColumn="0" w:noHBand="0" w:noVBand="0"/>
      </w:tblPr>
      <w:tblGrid>
        <w:gridCol w:w="1983"/>
        <w:gridCol w:w="2268"/>
        <w:gridCol w:w="4536"/>
      </w:tblGrid>
      <w:tr w:rsidR="00CD459A" w:rsidRPr="00CD459A" w14:paraId="0F0E9679" w14:textId="77777777" w:rsidTr="00AB3D96">
        <w:trPr>
          <w:cantSplit/>
        </w:trPr>
        <w:tc>
          <w:tcPr>
            <w:tcW w:w="1983" w:type="dxa"/>
            <w:tcBorders>
              <w:top w:val="single" w:sz="6" w:space="0" w:color="auto"/>
              <w:left w:val="single" w:sz="6" w:space="0" w:color="auto"/>
            </w:tcBorders>
          </w:tcPr>
          <w:p w14:paraId="5AB6E91C"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2268" w:type="dxa"/>
            <w:tcBorders>
              <w:top w:val="single" w:sz="6" w:space="0" w:color="auto"/>
              <w:left w:val="single" w:sz="6" w:space="0" w:color="auto"/>
            </w:tcBorders>
          </w:tcPr>
          <w:p w14:paraId="3619BB21"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4536" w:type="dxa"/>
            <w:tcBorders>
              <w:top w:val="single" w:sz="6" w:space="0" w:color="auto"/>
              <w:left w:val="single" w:sz="6" w:space="0" w:color="auto"/>
              <w:right w:val="single" w:sz="6" w:space="0" w:color="auto"/>
            </w:tcBorders>
          </w:tcPr>
          <w:p w14:paraId="142CA04E"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16A81665" w14:textId="77777777" w:rsidTr="00AB3D96">
        <w:trPr>
          <w:cantSplit/>
        </w:trPr>
        <w:tc>
          <w:tcPr>
            <w:tcW w:w="1983" w:type="dxa"/>
            <w:tcBorders>
              <w:top w:val="single" w:sz="6" w:space="0" w:color="auto"/>
              <w:left w:val="single" w:sz="6" w:space="0" w:color="auto"/>
              <w:bottom w:val="single" w:sz="6" w:space="0" w:color="auto"/>
            </w:tcBorders>
          </w:tcPr>
          <w:p w14:paraId="3DAF5408"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2268" w:type="dxa"/>
            <w:tcBorders>
              <w:top w:val="single" w:sz="6" w:space="0" w:color="auto"/>
              <w:left w:val="single" w:sz="6" w:space="0" w:color="auto"/>
              <w:bottom w:val="single" w:sz="6" w:space="0" w:color="auto"/>
              <w:right w:val="single" w:sz="6" w:space="0" w:color="auto"/>
            </w:tcBorders>
          </w:tcPr>
          <w:p w14:paraId="0A3799F7"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11</w:t>
            </w:r>
          </w:p>
        </w:tc>
        <w:tc>
          <w:tcPr>
            <w:tcW w:w="4536" w:type="dxa"/>
            <w:tcBorders>
              <w:top w:val="single" w:sz="6" w:space="0" w:color="auto"/>
              <w:bottom w:val="single" w:sz="6" w:space="0" w:color="auto"/>
              <w:right w:val="single" w:sz="6" w:space="0" w:color="auto"/>
            </w:tcBorders>
            <w:shd w:val="pct20" w:color="auto" w:fill="auto"/>
          </w:tcPr>
          <w:p w14:paraId="121A5128"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111012</w:t>
            </w:r>
          </w:p>
        </w:tc>
      </w:tr>
      <w:tr w:rsidR="00CD459A" w:rsidRPr="00CD459A" w14:paraId="5B0EADE5" w14:textId="77777777" w:rsidTr="00AB3D96">
        <w:trPr>
          <w:cantSplit/>
          <w:trHeight w:val="461"/>
        </w:trPr>
        <w:tc>
          <w:tcPr>
            <w:tcW w:w="1983" w:type="dxa"/>
            <w:tcBorders>
              <w:left w:val="single" w:sz="6" w:space="0" w:color="auto"/>
              <w:bottom w:val="single" w:sz="6" w:space="0" w:color="auto"/>
            </w:tcBorders>
          </w:tcPr>
          <w:p w14:paraId="496FD045"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2268" w:type="dxa"/>
            <w:tcBorders>
              <w:left w:val="single" w:sz="6" w:space="0" w:color="auto"/>
              <w:bottom w:val="single" w:sz="6" w:space="0" w:color="auto"/>
            </w:tcBorders>
          </w:tcPr>
          <w:p w14:paraId="6195CE0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EFECTIVO</w:t>
            </w:r>
          </w:p>
        </w:tc>
        <w:tc>
          <w:tcPr>
            <w:tcW w:w="4536" w:type="dxa"/>
            <w:tcBorders>
              <w:left w:val="single" w:sz="6" w:space="0" w:color="auto"/>
              <w:bottom w:val="single" w:sz="6" w:space="0" w:color="auto"/>
              <w:right w:val="single" w:sz="6" w:space="0" w:color="auto"/>
            </w:tcBorders>
            <w:shd w:val="pct20" w:color="auto" w:fill="auto"/>
          </w:tcPr>
          <w:p w14:paraId="4B0D5F52" w14:textId="77777777" w:rsidR="007C7EF4" w:rsidRPr="00CD459A" w:rsidRDefault="007C7EF4" w:rsidP="003B74CE">
            <w:pPr>
              <w:suppressLineNumbers/>
              <w:tabs>
                <w:tab w:val="left" w:pos="-720"/>
                <w:tab w:val="left" w:pos="1134"/>
              </w:tabs>
              <w:ind w:right="51" w:firstLine="113"/>
              <w:jc w:val="both"/>
              <w:rPr>
                <w:rFonts w:ascii="Verdana" w:hAnsi="Verdana" w:cs="Arial"/>
              </w:rPr>
            </w:pPr>
            <w:r w:rsidRPr="00CD459A">
              <w:rPr>
                <w:rFonts w:ascii="Verdana" w:hAnsi="Verdana" w:cs="Arial"/>
              </w:rPr>
              <w:t>Depósitos remunerados</w:t>
            </w:r>
          </w:p>
        </w:tc>
      </w:tr>
    </w:tbl>
    <w:p w14:paraId="5D32139D" w14:textId="77777777" w:rsidR="007C7EF4" w:rsidRPr="00CD459A" w:rsidRDefault="007C7EF4" w:rsidP="007C7EF4">
      <w:pPr>
        <w:ind w:left="142" w:right="57"/>
        <w:jc w:val="both"/>
        <w:rPr>
          <w:rFonts w:ascii="Verdana" w:hAnsi="Verdana" w:cs="Arial"/>
        </w:rPr>
      </w:pPr>
    </w:p>
    <w:p w14:paraId="65275DAD"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DESCRIPCIÓN </w:t>
      </w:r>
    </w:p>
    <w:p w14:paraId="3241A86A" w14:textId="77777777" w:rsidR="007C7EF4" w:rsidRPr="00CD459A" w:rsidRDefault="007C7EF4" w:rsidP="007C7EF4">
      <w:pPr>
        <w:pStyle w:val="Textoindependiente"/>
        <w:ind w:right="-160"/>
        <w:rPr>
          <w:rFonts w:ascii="Verdana" w:hAnsi="Verdana" w:cs="Arial"/>
          <w:sz w:val="22"/>
          <w:szCs w:val="22"/>
        </w:rPr>
      </w:pPr>
    </w:p>
    <w:p w14:paraId="1BE6B9EF" w14:textId="77777777" w:rsidR="007C7EF4" w:rsidRPr="00CD459A" w:rsidRDefault="007C7EF4" w:rsidP="007C7EF4">
      <w:pPr>
        <w:pStyle w:val="Textoindependiente"/>
        <w:ind w:right="51"/>
        <w:rPr>
          <w:rFonts w:ascii="Verdana" w:eastAsia="Calibri" w:hAnsi="Verdana" w:cs="Arial"/>
          <w:sz w:val="22"/>
          <w:szCs w:val="22"/>
          <w:lang w:eastAsia="en-US"/>
        </w:rPr>
      </w:pPr>
      <w:r w:rsidRPr="00CD459A">
        <w:rPr>
          <w:rFonts w:ascii="Verdana" w:eastAsia="Calibri" w:hAnsi="Verdana" w:cs="Arial"/>
          <w:sz w:val="22"/>
          <w:szCs w:val="22"/>
          <w:lang w:eastAsia="en-US"/>
        </w:rPr>
        <w:t xml:space="preserve">Los depósitos remunerados son recursos financieros colocados por la DGCPTN en el Banco de la República a nombre del Sistema General de Regalías con el propósito de obtener rendimientos provenientes de los flujos contractuales del título durante su vigencia. Las condiciones en cuanto a vigencia y tasas se definen desde la emisión del título y son inmodificables, en condiciones normales se redimen la fecha de vencimiento con el traslado a la cuenta única de Sistema General de Regalías del capital más los rendimientos generados durante la vigencia a la tasa de interés pactada. De acuerdo con el marco normativo para entidades de gobierno, dadas las condiciones antes enunciadas los depósitos remunerados se deben valorar y reflejar en los estados contables del Sistema General de Regalías a costo amortizado.   </w:t>
      </w:r>
    </w:p>
    <w:p w14:paraId="7D77CDFA" w14:textId="77777777" w:rsidR="007C7EF4" w:rsidRPr="00CD459A" w:rsidRDefault="007C7EF4" w:rsidP="007C7EF4">
      <w:pPr>
        <w:pStyle w:val="Textoindependiente"/>
        <w:rPr>
          <w:rFonts w:ascii="Verdana" w:eastAsia="Calibri" w:hAnsi="Verdana" w:cs="Arial"/>
          <w:sz w:val="22"/>
          <w:szCs w:val="22"/>
          <w:lang w:eastAsia="en-US"/>
        </w:rPr>
      </w:pPr>
    </w:p>
    <w:p w14:paraId="7825ECF3"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MEDICIÓN INICIAL</w:t>
      </w:r>
    </w:p>
    <w:p w14:paraId="62000D4D"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ab/>
      </w:r>
    </w:p>
    <w:p w14:paraId="370B39E2"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 xml:space="preserve">En el momento de la emisión, los depósitos remunerados se deben reconocer y reflejar contablemente a valor de mercado, que corresponde al valor en pesos debitado de la cuenta única del Sistema General de Regalías con destino al Banco de la república. </w:t>
      </w:r>
    </w:p>
    <w:p w14:paraId="44B8770E"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ab/>
      </w:r>
    </w:p>
    <w:p w14:paraId="73BC39C3"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 xml:space="preserve">MEDICIÓN POSTERIOR </w:t>
      </w:r>
    </w:p>
    <w:p w14:paraId="1700DA57" w14:textId="77777777" w:rsidR="007C7EF4" w:rsidRPr="00CD459A" w:rsidRDefault="007C7EF4" w:rsidP="007C7EF4">
      <w:pPr>
        <w:pStyle w:val="Textoindependiente"/>
        <w:rPr>
          <w:rFonts w:ascii="Verdana" w:eastAsia="Calibri" w:hAnsi="Verdana" w:cs="Arial"/>
          <w:sz w:val="22"/>
          <w:szCs w:val="22"/>
          <w:lang w:eastAsia="en-US"/>
        </w:rPr>
      </w:pPr>
    </w:p>
    <w:p w14:paraId="16C4EFAF"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Con posterioridad al reconocimiento, las inversiones clasificadas en la categoría de costo amortizado se medirán al costo amortizado.</w:t>
      </w:r>
    </w:p>
    <w:p w14:paraId="1C2BC945"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El costo amortizado corresponde al valor inicialmente reconocido más el rendimiento efectivo, menos los pagos de capital e intereses, menos cualquier disminución por deterioro del valor.</w:t>
      </w:r>
    </w:p>
    <w:p w14:paraId="56D5147D" w14:textId="77777777" w:rsidR="007C7EF4" w:rsidRPr="00CD459A" w:rsidRDefault="007C7EF4" w:rsidP="007C7EF4">
      <w:pPr>
        <w:autoSpaceDE w:val="0"/>
        <w:autoSpaceDN w:val="0"/>
        <w:adjustRightInd w:val="0"/>
        <w:jc w:val="both"/>
        <w:rPr>
          <w:rFonts w:ascii="Verdana" w:eastAsia="Calibri" w:hAnsi="Verdana" w:cs="Arial"/>
        </w:rPr>
      </w:pPr>
    </w:p>
    <w:p w14:paraId="477FD0A2"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El rendimiento efectivo se calculará multiplicando el costo amortizado de la inversión por la tasa de interés efectiva.</w:t>
      </w:r>
    </w:p>
    <w:p w14:paraId="29B8CEB3"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 xml:space="preserve">La tasa de interés efectiva es aquella que hace equivalentes los flujos contractuales del título con su costo amortizado en la fecha de medición. El rendimiento efectivo se reconocerá como un mayor valor de la inversión y como un ingreso en el resultado del periodo. </w:t>
      </w:r>
    </w:p>
    <w:p w14:paraId="3DDCAC84"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 xml:space="preserve">Los rendimientos recibidos reducirán el valor de la inversión, afectando el efectivo o equivalentes al efectivo de acuerdo con la contraprestación recibida. </w:t>
      </w:r>
    </w:p>
    <w:p w14:paraId="1BC0EDBC"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Las inversiones de administración de liquidez clasificadas al costo amortizado serán objeto de estimaciones de deterioro, cuando exista evidencia objetiva del incumplimiento de los pagos a cargo del emisor o del desmejoramiento de sus condiciones crediticias.</w:t>
      </w:r>
      <w:r w:rsidRPr="00CD459A">
        <w:rPr>
          <w:rFonts w:ascii="Verdana" w:eastAsia="Calibri" w:hAnsi="Verdana" w:cs="Arial"/>
          <w:sz w:val="22"/>
          <w:szCs w:val="22"/>
          <w:lang w:eastAsia="en-US"/>
        </w:rPr>
        <w:tab/>
      </w:r>
    </w:p>
    <w:p w14:paraId="536D1180" w14:textId="77777777" w:rsidR="007C7EF4" w:rsidRPr="00CD459A" w:rsidRDefault="007C7EF4" w:rsidP="007C7EF4">
      <w:pPr>
        <w:pStyle w:val="Textoindependiente"/>
        <w:ind w:right="-160"/>
        <w:rPr>
          <w:rFonts w:ascii="Verdana" w:hAnsi="Verdana" w:cs="Arial"/>
          <w:sz w:val="22"/>
          <w:szCs w:val="22"/>
        </w:rPr>
      </w:pPr>
    </w:p>
    <w:p w14:paraId="1A452AED"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FUENTE DE INFORMACIÓN </w:t>
      </w:r>
    </w:p>
    <w:p w14:paraId="6A8C8E40" w14:textId="77777777" w:rsidR="007C7EF4" w:rsidRPr="00CD459A" w:rsidRDefault="007C7EF4" w:rsidP="007C7EF4">
      <w:pPr>
        <w:pStyle w:val="Textoindependiente"/>
        <w:ind w:right="-160"/>
        <w:rPr>
          <w:rFonts w:ascii="Verdana" w:hAnsi="Verdana" w:cs="Arial"/>
          <w:sz w:val="22"/>
          <w:szCs w:val="22"/>
        </w:rPr>
      </w:pPr>
    </w:p>
    <w:p w14:paraId="2D3A2A62"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El grupo de la Mesa de Dinero remite la información extraída de sistema de portafolio financieros – PORFIN, del periodo determinado. </w:t>
      </w:r>
    </w:p>
    <w:p w14:paraId="2B78B21E" w14:textId="77777777" w:rsidR="007C7EF4" w:rsidRPr="00CD459A" w:rsidRDefault="007C7EF4" w:rsidP="007C7EF4">
      <w:pPr>
        <w:pStyle w:val="Textoindependiente"/>
        <w:ind w:right="-160"/>
        <w:rPr>
          <w:rFonts w:ascii="Verdana" w:hAnsi="Verdana" w:cs="Arial"/>
          <w:sz w:val="22"/>
          <w:szCs w:val="22"/>
        </w:rPr>
      </w:pPr>
    </w:p>
    <w:p w14:paraId="5055EB6F"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CONCILIACIÓN </w:t>
      </w:r>
    </w:p>
    <w:p w14:paraId="0B35E68E" w14:textId="77777777" w:rsidR="007C7EF4" w:rsidRPr="00CD459A" w:rsidRDefault="007C7EF4" w:rsidP="007C7EF4">
      <w:pPr>
        <w:pStyle w:val="Textoindependiente"/>
        <w:ind w:right="-160"/>
        <w:rPr>
          <w:rFonts w:ascii="Verdana" w:hAnsi="Verdana" w:cs="Arial"/>
          <w:sz w:val="22"/>
          <w:szCs w:val="22"/>
        </w:rPr>
      </w:pPr>
    </w:p>
    <w:p w14:paraId="2DDA9846"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Se compara los saldos contables de la constitución, redención y valoración neta de los Depósitos Remunerados, frente a la información remitida por la mesa de Dinero.</w:t>
      </w:r>
    </w:p>
    <w:p w14:paraId="3610823B" w14:textId="77777777" w:rsidR="007C7EF4" w:rsidRPr="00CD459A" w:rsidRDefault="007C7EF4" w:rsidP="007C7EF4">
      <w:pPr>
        <w:pStyle w:val="Textoindependiente"/>
        <w:ind w:right="-160"/>
        <w:rPr>
          <w:rFonts w:ascii="Verdana" w:hAnsi="Verdana" w:cs="Arial"/>
          <w:sz w:val="22"/>
          <w:szCs w:val="22"/>
        </w:rPr>
      </w:pPr>
    </w:p>
    <w:p w14:paraId="3260F23E"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REVELACIONES </w:t>
      </w:r>
    </w:p>
    <w:p w14:paraId="4C3A0213" w14:textId="77777777" w:rsidR="007C7EF4" w:rsidRPr="00CD459A" w:rsidRDefault="007C7EF4" w:rsidP="007C7EF4">
      <w:pPr>
        <w:pStyle w:val="Textoindependiente"/>
        <w:ind w:right="-160"/>
        <w:rPr>
          <w:rFonts w:ascii="Verdana" w:hAnsi="Verdana" w:cs="Arial"/>
          <w:sz w:val="22"/>
          <w:szCs w:val="22"/>
        </w:rPr>
      </w:pPr>
    </w:p>
    <w:p w14:paraId="686E6CAA" w14:textId="77777777" w:rsidR="007C7EF4" w:rsidRDefault="007C7EF4" w:rsidP="007C7EF4">
      <w:pPr>
        <w:pStyle w:val="Default"/>
        <w:jc w:val="both"/>
        <w:rPr>
          <w:rFonts w:ascii="Verdana" w:hAnsi="Verdana"/>
          <w:color w:val="auto"/>
          <w:sz w:val="22"/>
          <w:szCs w:val="22"/>
          <w:lang w:val="es-ES"/>
        </w:rPr>
      </w:pPr>
      <w:r w:rsidRPr="00CD459A">
        <w:rPr>
          <w:rFonts w:ascii="Verdana" w:hAnsi="Verdana"/>
          <w:color w:val="auto"/>
          <w:sz w:val="22"/>
          <w:szCs w:val="22"/>
          <w:lang w:val="es-ES"/>
        </w:rPr>
        <w:t>De cada Depósito remunerado vigente a la fecha de corte, se revelará la información suficiente para identificarlo como: Número de operación, Costo, Total Rendimientos, Valor final, Tasa, Fecha de emisión, Fecha de vencimiento, plazo, Costo, Valor rendimientos causados por recaudar.</w:t>
      </w:r>
    </w:p>
    <w:p w14:paraId="656D3844" w14:textId="77777777" w:rsidR="00AB3D96" w:rsidRPr="00CD459A" w:rsidRDefault="00AB3D96" w:rsidP="007C7EF4">
      <w:pPr>
        <w:pStyle w:val="Default"/>
        <w:jc w:val="both"/>
        <w:rPr>
          <w:rFonts w:ascii="Verdana" w:hAnsi="Verdana"/>
          <w:color w:val="auto"/>
          <w:sz w:val="22"/>
          <w:szCs w:val="22"/>
          <w:lang w:val="es-ES"/>
        </w:rPr>
      </w:pPr>
    </w:p>
    <w:p w14:paraId="6F4BA6D2" w14:textId="77777777" w:rsidR="007C7EF4" w:rsidRPr="00CD459A" w:rsidRDefault="007C7EF4" w:rsidP="007C7EF4">
      <w:pPr>
        <w:pStyle w:val="Textoindependiente"/>
        <w:rPr>
          <w:rFonts w:ascii="Verdana" w:hAnsi="Verdana" w:cs="Arial"/>
          <w:sz w:val="22"/>
          <w:szCs w:val="22"/>
        </w:rPr>
      </w:pPr>
    </w:p>
    <w:p w14:paraId="444BCA2A"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 xml:space="preserve">DINÁMICA </w:t>
      </w:r>
    </w:p>
    <w:p w14:paraId="2A977B1C" w14:textId="77777777" w:rsidR="007C7EF4" w:rsidRPr="00CD459A" w:rsidRDefault="007C7EF4" w:rsidP="007C7EF4">
      <w:pPr>
        <w:jc w:val="both"/>
        <w:rPr>
          <w:rFonts w:ascii="Verdana" w:hAnsi="Verdana" w:cs="Arial"/>
        </w:rPr>
      </w:pPr>
    </w:p>
    <w:p w14:paraId="105AB073" w14:textId="77777777" w:rsidR="007C7EF4" w:rsidRPr="00CD459A" w:rsidRDefault="007C7EF4" w:rsidP="007C7EF4">
      <w:pPr>
        <w:jc w:val="both"/>
        <w:rPr>
          <w:rFonts w:ascii="Verdana" w:hAnsi="Verdana" w:cs="Arial"/>
        </w:rPr>
      </w:pPr>
      <w:r w:rsidRPr="00CD459A">
        <w:rPr>
          <w:rFonts w:ascii="Verdana" w:hAnsi="Verdana" w:cs="Arial"/>
        </w:rPr>
        <w:t xml:space="preserve">SE DEBITA CON: </w:t>
      </w:r>
    </w:p>
    <w:p w14:paraId="022FE600" w14:textId="77777777" w:rsidR="007C7EF4" w:rsidRPr="00CD459A" w:rsidRDefault="007C7EF4" w:rsidP="007C7EF4">
      <w:pPr>
        <w:jc w:val="both"/>
        <w:rPr>
          <w:rFonts w:ascii="Verdana" w:hAnsi="Verdana" w:cs="Arial"/>
        </w:rPr>
      </w:pPr>
    </w:p>
    <w:p w14:paraId="029746A6" w14:textId="77777777" w:rsidR="007C7EF4" w:rsidRPr="00CD459A" w:rsidRDefault="007C7EF4" w:rsidP="00AB3D96">
      <w:pPr>
        <w:pStyle w:val="Prrafodelista"/>
        <w:numPr>
          <w:ilvl w:val="0"/>
          <w:numId w:val="24"/>
        </w:numPr>
        <w:spacing w:line="240" w:lineRule="auto"/>
        <w:jc w:val="both"/>
        <w:rPr>
          <w:rFonts w:ascii="Verdana" w:hAnsi="Verdana" w:cs="Arial"/>
        </w:rPr>
      </w:pPr>
      <w:r w:rsidRPr="00CD459A">
        <w:rPr>
          <w:rFonts w:ascii="Verdana" w:hAnsi="Verdana" w:cs="Arial"/>
        </w:rPr>
        <w:t>Por la Constitución del Depósito Remunerado, con crédito a la subcuenta 114001 – Cuenta Única Sistema General de Regalías.</w:t>
      </w:r>
    </w:p>
    <w:p w14:paraId="007E0E13" w14:textId="77777777" w:rsidR="007C7EF4" w:rsidRDefault="007C7EF4" w:rsidP="00AB3D96">
      <w:pPr>
        <w:pStyle w:val="Prrafodelista"/>
        <w:numPr>
          <w:ilvl w:val="0"/>
          <w:numId w:val="24"/>
        </w:numPr>
        <w:spacing w:line="240" w:lineRule="auto"/>
        <w:jc w:val="both"/>
        <w:rPr>
          <w:rFonts w:ascii="Verdana" w:hAnsi="Verdana" w:cs="Arial"/>
        </w:rPr>
      </w:pPr>
      <w:r w:rsidRPr="00CD459A">
        <w:rPr>
          <w:rFonts w:ascii="Verdana" w:hAnsi="Verdana" w:cs="Arial"/>
        </w:rPr>
        <w:t>Por el rendimiento efectivo de los Depósitos Remunerados, con crédito a la subcuenta 114001 – Cuenta Única Sistema General de Regalías.</w:t>
      </w:r>
    </w:p>
    <w:p w14:paraId="424E8377" w14:textId="77777777" w:rsidR="00355F8E" w:rsidRPr="00CD459A" w:rsidRDefault="00355F8E" w:rsidP="00AB3D96">
      <w:pPr>
        <w:pStyle w:val="Prrafodelista"/>
        <w:spacing w:line="240" w:lineRule="auto"/>
        <w:jc w:val="both"/>
        <w:rPr>
          <w:rFonts w:ascii="Verdana" w:hAnsi="Verdana" w:cs="Arial"/>
        </w:rPr>
      </w:pPr>
    </w:p>
    <w:p w14:paraId="7EEEA91D" w14:textId="77777777" w:rsidR="007C7EF4" w:rsidRPr="00CD459A" w:rsidRDefault="007C7EF4" w:rsidP="007C7EF4">
      <w:pPr>
        <w:jc w:val="both"/>
        <w:rPr>
          <w:rFonts w:ascii="Verdana" w:hAnsi="Verdana" w:cs="Arial"/>
        </w:rPr>
      </w:pPr>
      <w:r w:rsidRPr="00CD459A">
        <w:rPr>
          <w:rFonts w:ascii="Verdana" w:hAnsi="Verdana" w:cs="Arial"/>
        </w:rPr>
        <w:t xml:space="preserve">SE ACREDITA CON: </w:t>
      </w:r>
    </w:p>
    <w:p w14:paraId="764F8727" w14:textId="77777777" w:rsidR="007C7EF4" w:rsidRPr="00CD459A" w:rsidRDefault="007C7EF4" w:rsidP="00AB3D96">
      <w:pPr>
        <w:pStyle w:val="Prrafodelista"/>
        <w:numPr>
          <w:ilvl w:val="0"/>
          <w:numId w:val="25"/>
        </w:numPr>
        <w:spacing w:line="240" w:lineRule="auto"/>
        <w:jc w:val="both"/>
        <w:rPr>
          <w:rFonts w:ascii="Verdana" w:hAnsi="Verdana" w:cs="Arial"/>
        </w:rPr>
      </w:pPr>
      <w:r w:rsidRPr="00CD459A">
        <w:rPr>
          <w:rFonts w:ascii="Verdana" w:hAnsi="Verdana" w:cs="Arial"/>
        </w:rPr>
        <w:t>Por la Redención del Depósito Remunerado, con debito a la subcuenta 114001 – Cuenta Única Sistema General de Regalías.</w:t>
      </w:r>
    </w:p>
    <w:tbl>
      <w:tblPr>
        <w:tblpPr w:leftFromText="141" w:rightFromText="141" w:vertAnchor="text" w:horzAnchor="margin" w:tblpY="169"/>
        <w:tblW w:w="10057" w:type="dxa"/>
        <w:tblLayout w:type="fixed"/>
        <w:tblCellMar>
          <w:left w:w="127" w:type="dxa"/>
          <w:right w:w="127" w:type="dxa"/>
        </w:tblCellMar>
        <w:tblLook w:val="0000" w:firstRow="0" w:lastRow="0" w:firstColumn="0" w:lastColumn="0" w:noHBand="0" w:noVBand="0"/>
      </w:tblPr>
      <w:tblGrid>
        <w:gridCol w:w="2044"/>
        <w:gridCol w:w="2660"/>
        <w:gridCol w:w="5353"/>
      </w:tblGrid>
      <w:tr w:rsidR="00CD459A" w:rsidRPr="00CD459A" w14:paraId="6B8AFD94" w14:textId="77777777" w:rsidTr="003B74CE">
        <w:trPr>
          <w:cantSplit/>
          <w:trHeight w:val="536"/>
        </w:trPr>
        <w:tc>
          <w:tcPr>
            <w:tcW w:w="2044" w:type="dxa"/>
            <w:tcBorders>
              <w:top w:val="single" w:sz="6" w:space="0" w:color="auto"/>
              <w:left w:val="single" w:sz="6" w:space="0" w:color="auto"/>
              <w:right w:val="single" w:sz="6" w:space="0" w:color="auto"/>
            </w:tcBorders>
          </w:tcPr>
          <w:p w14:paraId="6400E6BD"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2660" w:type="dxa"/>
            <w:tcBorders>
              <w:top w:val="single" w:sz="6" w:space="0" w:color="auto"/>
              <w:left w:val="single" w:sz="6" w:space="0" w:color="auto"/>
              <w:right w:val="single" w:sz="6" w:space="0" w:color="auto"/>
            </w:tcBorders>
          </w:tcPr>
          <w:p w14:paraId="11A0DF5E"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5353" w:type="dxa"/>
            <w:tcBorders>
              <w:top w:val="single" w:sz="6" w:space="0" w:color="auto"/>
              <w:left w:val="single" w:sz="6" w:space="0" w:color="auto"/>
              <w:right w:val="single" w:sz="6" w:space="0" w:color="auto"/>
            </w:tcBorders>
          </w:tcPr>
          <w:p w14:paraId="63A5D28B"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6C6E8AE3" w14:textId="77777777" w:rsidTr="003B74CE">
        <w:trPr>
          <w:cantSplit/>
          <w:trHeight w:val="536"/>
        </w:trPr>
        <w:tc>
          <w:tcPr>
            <w:tcW w:w="2044" w:type="dxa"/>
            <w:tcBorders>
              <w:top w:val="single" w:sz="6" w:space="0" w:color="auto"/>
              <w:left w:val="single" w:sz="6" w:space="0" w:color="auto"/>
              <w:bottom w:val="single" w:sz="6" w:space="0" w:color="auto"/>
              <w:right w:val="single" w:sz="6" w:space="0" w:color="auto"/>
            </w:tcBorders>
          </w:tcPr>
          <w:p w14:paraId="4E2F03DC"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2660" w:type="dxa"/>
            <w:tcBorders>
              <w:top w:val="single" w:sz="6" w:space="0" w:color="auto"/>
              <w:left w:val="single" w:sz="6" w:space="0" w:color="auto"/>
              <w:bottom w:val="single" w:sz="6" w:space="0" w:color="auto"/>
              <w:right w:val="single" w:sz="6" w:space="0" w:color="auto"/>
            </w:tcBorders>
          </w:tcPr>
          <w:p w14:paraId="7CB3FAB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11</w:t>
            </w:r>
          </w:p>
        </w:tc>
        <w:tc>
          <w:tcPr>
            <w:tcW w:w="5353" w:type="dxa"/>
            <w:tcBorders>
              <w:top w:val="single" w:sz="6" w:space="0" w:color="auto"/>
              <w:left w:val="single" w:sz="6" w:space="0" w:color="auto"/>
              <w:bottom w:val="single" w:sz="6" w:space="0" w:color="auto"/>
              <w:right w:val="single" w:sz="6" w:space="0" w:color="auto"/>
            </w:tcBorders>
            <w:shd w:val="pct20" w:color="auto" w:fill="auto"/>
          </w:tcPr>
          <w:p w14:paraId="1FA7337A" w14:textId="77777777" w:rsidR="007C7EF4" w:rsidRPr="00CD459A" w:rsidRDefault="007C7EF4" w:rsidP="003B74CE">
            <w:pPr>
              <w:pStyle w:val="SOMBRA"/>
              <w:spacing w:line="240" w:lineRule="auto"/>
              <w:ind w:right="51"/>
              <w:jc w:val="both"/>
              <w:rPr>
                <w:rFonts w:ascii="Verdana" w:hAnsi="Verdana" w:cs="Arial"/>
                <w:b w:val="0"/>
                <w:sz w:val="22"/>
                <w:szCs w:val="22"/>
              </w:rPr>
            </w:pPr>
            <w:r w:rsidRPr="00CD459A">
              <w:rPr>
                <w:rFonts w:ascii="Verdana" w:hAnsi="Verdana" w:cs="Arial"/>
                <w:b w:val="0"/>
                <w:sz w:val="22"/>
                <w:szCs w:val="22"/>
              </w:rPr>
              <w:t>114001</w:t>
            </w:r>
          </w:p>
        </w:tc>
      </w:tr>
      <w:tr w:rsidR="00CD459A" w:rsidRPr="00CD459A" w14:paraId="2514DAE1" w14:textId="77777777" w:rsidTr="003B74CE">
        <w:trPr>
          <w:cantSplit/>
          <w:trHeight w:val="440"/>
        </w:trPr>
        <w:tc>
          <w:tcPr>
            <w:tcW w:w="2044" w:type="dxa"/>
            <w:tcBorders>
              <w:left w:val="single" w:sz="6" w:space="0" w:color="auto"/>
              <w:bottom w:val="single" w:sz="6" w:space="0" w:color="auto"/>
              <w:right w:val="single" w:sz="6" w:space="0" w:color="auto"/>
            </w:tcBorders>
          </w:tcPr>
          <w:p w14:paraId="67D30FD0"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2660" w:type="dxa"/>
            <w:tcBorders>
              <w:left w:val="single" w:sz="6" w:space="0" w:color="auto"/>
              <w:bottom w:val="single" w:sz="6" w:space="0" w:color="auto"/>
              <w:right w:val="single" w:sz="6" w:space="0" w:color="auto"/>
            </w:tcBorders>
          </w:tcPr>
          <w:p w14:paraId="2712876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EFECTIVO</w:t>
            </w:r>
          </w:p>
        </w:tc>
        <w:tc>
          <w:tcPr>
            <w:tcW w:w="5353" w:type="dxa"/>
            <w:tcBorders>
              <w:left w:val="single" w:sz="6" w:space="0" w:color="auto"/>
              <w:bottom w:val="single" w:sz="6" w:space="0" w:color="auto"/>
              <w:right w:val="single" w:sz="6" w:space="0" w:color="auto"/>
            </w:tcBorders>
            <w:shd w:val="pct20" w:color="auto" w:fill="auto"/>
          </w:tcPr>
          <w:p w14:paraId="0CE0BF3A" w14:textId="77777777" w:rsidR="007C7EF4" w:rsidRPr="00CD459A" w:rsidRDefault="007C7EF4" w:rsidP="003B74CE">
            <w:pPr>
              <w:pStyle w:val="SOMBRA"/>
              <w:spacing w:line="240" w:lineRule="auto"/>
              <w:ind w:right="51"/>
              <w:jc w:val="both"/>
              <w:rPr>
                <w:rFonts w:ascii="Verdana" w:hAnsi="Verdana" w:cs="Arial"/>
                <w:b w:val="0"/>
                <w:sz w:val="22"/>
                <w:szCs w:val="22"/>
              </w:rPr>
            </w:pPr>
            <w:r w:rsidRPr="00CD459A">
              <w:rPr>
                <w:rFonts w:ascii="Verdana" w:hAnsi="Verdana" w:cs="Arial"/>
                <w:b w:val="0"/>
                <w:sz w:val="22"/>
                <w:szCs w:val="22"/>
                <w:lang w:val="es-CO"/>
              </w:rPr>
              <w:t>SISTEMA GENERAL DE REGALÍAS</w:t>
            </w:r>
          </w:p>
        </w:tc>
      </w:tr>
    </w:tbl>
    <w:p w14:paraId="2C1DB62B" w14:textId="77777777" w:rsidR="007C7EF4" w:rsidRPr="00CD459A" w:rsidRDefault="007C7EF4" w:rsidP="007C7EF4">
      <w:pPr>
        <w:pStyle w:val="Textoindependiente"/>
        <w:ind w:right="47"/>
        <w:rPr>
          <w:rFonts w:ascii="Verdana" w:hAnsi="Verdana" w:cs="Arial"/>
          <w:sz w:val="22"/>
          <w:szCs w:val="22"/>
          <w:lang w:val="es-CO"/>
        </w:rPr>
      </w:pPr>
    </w:p>
    <w:p w14:paraId="0AE24D97" w14:textId="77777777" w:rsidR="007C7EF4" w:rsidRPr="00CD459A" w:rsidRDefault="007C7EF4" w:rsidP="007C7EF4">
      <w:pPr>
        <w:pStyle w:val="Textoindependiente"/>
        <w:ind w:right="47"/>
        <w:rPr>
          <w:rFonts w:ascii="Verdana" w:hAnsi="Verdana" w:cs="Arial"/>
          <w:sz w:val="22"/>
          <w:szCs w:val="22"/>
          <w:lang w:val="es-CO"/>
        </w:rPr>
      </w:pPr>
    </w:p>
    <w:p w14:paraId="482D9932" w14:textId="77777777" w:rsidR="007C7EF4" w:rsidRPr="00CD459A" w:rsidRDefault="007C7EF4" w:rsidP="007C7EF4">
      <w:pPr>
        <w:pStyle w:val="Textoindependiente"/>
        <w:ind w:right="47"/>
        <w:rPr>
          <w:rFonts w:ascii="Verdana" w:hAnsi="Verdana" w:cs="Arial"/>
          <w:sz w:val="22"/>
          <w:szCs w:val="22"/>
          <w:lang w:val="es-CO"/>
        </w:rPr>
      </w:pPr>
    </w:p>
    <w:p w14:paraId="185AEF7A"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DESCRIPCIÓN </w:t>
      </w:r>
    </w:p>
    <w:p w14:paraId="73A1ECC4" w14:textId="77777777" w:rsidR="007C7EF4" w:rsidRPr="00CD459A" w:rsidRDefault="007C7EF4" w:rsidP="007C7EF4">
      <w:pPr>
        <w:pStyle w:val="Normal11"/>
        <w:ind w:left="708" w:hanging="708"/>
        <w:jc w:val="both"/>
        <w:rPr>
          <w:rFonts w:ascii="Verdana" w:hAnsi="Verdana" w:cs="Arial"/>
          <w:sz w:val="22"/>
          <w:szCs w:val="22"/>
          <w:lang w:val="es-ES_tradnl"/>
        </w:rPr>
      </w:pPr>
    </w:p>
    <w:p w14:paraId="2605060E" w14:textId="77777777" w:rsidR="007C7EF4" w:rsidRPr="00CD459A" w:rsidRDefault="007C7EF4" w:rsidP="007C7EF4">
      <w:pPr>
        <w:pStyle w:val="Default"/>
        <w:ind w:right="27"/>
        <w:jc w:val="both"/>
        <w:rPr>
          <w:rFonts w:ascii="Verdana" w:hAnsi="Verdana"/>
          <w:color w:val="auto"/>
          <w:sz w:val="22"/>
          <w:szCs w:val="22"/>
          <w:lang w:val="es-ES_tradnl"/>
        </w:rPr>
      </w:pPr>
      <w:r w:rsidRPr="00CD459A">
        <w:rPr>
          <w:rFonts w:ascii="Verdana" w:hAnsi="Verdana"/>
          <w:color w:val="auto"/>
          <w:sz w:val="22"/>
          <w:szCs w:val="22"/>
          <w:lang w:val="es-ES_tradnl"/>
        </w:rPr>
        <w:t>Representa el valor de los recursos en efectivo disponibles en las siguientes Cuentas bancarias del Sistema General de Regalías-SGR, está representada en el saldo de las siguientes cuentas bancarias</w:t>
      </w:r>
    </w:p>
    <w:p w14:paraId="29C5FB76" w14:textId="77777777" w:rsidR="007C7EF4" w:rsidRPr="00CD459A" w:rsidRDefault="007C7EF4" w:rsidP="007C7EF4">
      <w:pPr>
        <w:pStyle w:val="Default"/>
        <w:ind w:right="27"/>
        <w:jc w:val="both"/>
        <w:rPr>
          <w:rFonts w:ascii="Verdana" w:hAnsi="Verdana"/>
          <w:color w:val="auto"/>
          <w:sz w:val="22"/>
          <w:szCs w:val="22"/>
          <w:lang w:val="es-ES_tradnl"/>
        </w:rPr>
      </w:pPr>
    </w:p>
    <w:p w14:paraId="2B4CB66F"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61016960 Banco de la República: Cuenta Pagadora Única SGR.</w:t>
      </w:r>
    </w:p>
    <w:p w14:paraId="38FF8EA0"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 xml:space="preserve">Cuenta 61010427 Banco de la República: Cuenta para la constitución y redención de las inversiones de los excedentes de liquidez del SGR.  </w:t>
      </w:r>
    </w:p>
    <w:p w14:paraId="3F0F62D9"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61010435 Banco de la Republica: Cuenta para el recaudo de los reintegros generados por pagos con recursos del SGR.</w:t>
      </w:r>
    </w:p>
    <w:p w14:paraId="4C4FE6B0"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61016978 Banco de la Republica: Cuenta para el recaudo de los rendimientos financieros que son propiedad del SGR.</w:t>
      </w:r>
    </w:p>
    <w:p w14:paraId="3051CF32"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300700006830 Banco Agrario: Cuenta para el recaudo de los rendimientos financieros que son propiedad del SGR.</w:t>
      </w:r>
    </w:p>
    <w:p w14:paraId="4D868229"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300700007242 Banco Agrario: Cuenta para el recaudo de los reintegros generados por pagos con recursos del SGR.</w:t>
      </w:r>
    </w:p>
    <w:p w14:paraId="3C3C464C" w14:textId="77777777" w:rsidR="007C7EF4" w:rsidRPr="00CD459A" w:rsidRDefault="007C7EF4" w:rsidP="00AB3D96">
      <w:pPr>
        <w:pStyle w:val="Default"/>
        <w:numPr>
          <w:ilvl w:val="0"/>
          <w:numId w:val="26"/>
        </w:numPr>
        <w:ind w:right="27"/>
        <w:jc w:val="both"/>
        <w:rPr>
          <w:rFonts w:ascii="Verdana" w:hAnsi="Verdana"/>
          <w:color w:val="auto"/>
          <w:sz w:val="22"/>
          <w:szCs w:val="22"/>
          <w:lang w:val="es-ES_tradnl"/>
        </w:rPr>
      </w:pPr>
      <w:r w:rsidRPr="00CD459A">
        <w:rPr>
          <w:rFonts w:ascii="Verdana" w:hAnsi="Verdana"/>
          <w:color w:val="auto"/>
          <w:sz w:val="22"/>
          <w:szCs w:val="22"/>
          <w:lang w:val="es-ES_tradnl"/>
        </w:rPr>
        <w:t>Cuenta 36277554 Banco Citibank: Cuenta para el traslado de los recursos al FAE en USD.</w:t>
      </w:r>
    </w:p>
    <w:p w14:paraId="6F619E8F" w14:textId="77777777" w:rsidR="007C7EF4" w:rsidRPr="00CD459A" w:rsidRDefault="007C7EF4" w:rsidP="007C7EF4">
      <w:pPr>
        <w:spacing w:before="20"/>
        <w:jc w:val="both"/>
        <w:rPr>
          <w:rFonts w:ascii="Verdana" w:hAnsi="Verdana" w:cs="Arial"/>
          <w:lang w:val="es-ES_tradnl"/>
        </w:rPr>
      </w:pPr>
    </w:p>
    <w:p w14:paraId="0F0CC2B2"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La contrapartida está condicionada por el origen de la operación que genera el movimiento, de tal forma que puede ser una cuenta del Activo, pasivo, ingresos o gastos.</w:t>
      </w:r>
    </w:p>
    <w:p w14:paraId="7795EC1F" w14:textId="77777777" w:rsidR="007C7EF4" w:rsidRPr="00CD459A" w:rsidRDefault="007C7EF4" w:rsidP="007C7EF4">
      <w:pPr>
        <w:pStyle w:val="Textoindependiente"/>
        <w:ind w:right="47"/>
        <w:rPr>
          <w:rFonts w:ascii="Verdana" w:hAnsi="Verdana" w:cs="Arial"/>
          <w:sz w:val="22"/>
          <w:szCs w:val="22"/>
        </w:rPr>
      </w:pPr>
    </w:p>
    <w:p w14:paraId="4D9049B6"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 xml:space="preserve">MEDICIÓN </w:t>
      </w:r>
    </w:p>
    <w:p w14:paraId="3368AD0D" w14:textId="77777777" w:rsidR="007C7EF4" w:rsidRPr="00CD459A" w:rsidRDefault="007C7EF4" w:rsidP="007C7EF4">
      <w:pPr>
        <w:pStyle w:val="Textoindependiente"/>
        <w:ind w:right="47"/>
        <w:rPr>
          <w:rFonts w:ascii="Verdana" w:hAnsi="Verdana" w:cs="Arial"/>
          <w:sz w:val="22"/>
          <w:szCs w:val="22"/>
        </w:rPr>
      </w:pPr>
    </w:p>
    <w:p w14:paraId="51C38EB5"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Las operaciones que implican movimientos bancarios se miden por el valor del importe en efectivo que representa, teniendo como documento fuente el extracto bancario.</w:t>
      </w:r>
    </w:p>
    <w:p w14:paraId="56469E6D" w14:textId="77777777" w:rsidR="007C7EF4" w:rsidRPr="00CD459A" w:rsidRDefault="007C7EF4" w:rsidP="007C7EF4">
      <w:pPr>
        <w:pStyle w:val="Textoindependiente"/>
        <w:ind w:right="47"/>
        <w:rPr>
          <w:rFonts w:ascii="Verdana" w:hAnsi="Verdana" w:cs="Arial"/>
          <w:sz w:val="22"/>
          <w:szCs w:val="22"/>
        </w:rPr>
      </w:pPr>
    </w:p>
    <w:p w14:paraId="6E38B248"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 xml:space="preserve">FUENTE DE INFORMACIÓN </w:t>
      </w:r>
    </w:p>
    <w:p w14:paraId="101C6992" w14:textId="77777777" w:rsidR="007C7EF4" w:rsidRPr="00CD459A" w:rsidRDefault="007C7EF4" w:rsidP="007C7EF4">
      <w:pPr>
        <w:pStyle w:val="Textoindependiente"/>
        <w:ind w:right="47"/>
        <w:rPr>
          <w:rFonts w:ascii="Verdana" w:hAnsi="Verdana" w:cs="Arial"/>
          <w:sz w:val="22"/>
          <w:szCs w:val="22"/>
        </w:rPr>
      </w:pPr>
    </w:p>
    <w:p w14:paraId="2D0AD1CB"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 xml:space="preserve">Extractos Bancarios, descargados mediante la banca virtual del Banco Agrario, Banco de la Republica y Citibank. </w:t>
      </w:r>
    </w:p>
    <w:p w14:paraId="131F24BA" w14:textId="77777777" w:rsidR="007C7EF4" w:rsidRPr="00CD459A" w:rsidRDefault="007C7EF4" w:rsidP="007C7EF4">
      <w:pPr>
        <w:pStyle w:val="Textoindependiente"/>
        <w:ind w:right="47"/>
        <w:rPr>
          <w:rFonts w:ascii="Verdana" w:hAnsi="Verdana" w:cs="Arial"/>
          <w:sz w:val="22"/>
          <w:szCs w:val="22"/>
        </w:rPr>
      </w:pPr>
    </w:p>
    <w:p w14:paraId="2CD0AE17"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 xml:space="preserve">CONCILIACIÓN </w:t>
      </w:r>
    </w:p>
    <w:p w14:paraId="5CB37CE0" w14:textId="77777777" w:rsidR="007C7EF4" w:rsidRPr="00CD459A" w:rsidRDefault="007C7EF4" w:rsidP="007C7EF4">
      <w:pPr>
        <w:pStyle w:val="Textoindependiente"/>
        <w:ind w:right="47"/>
        <w:rPr>
          <w:rFonts w:ascii="Verdana" w:hAnsi="Verdana" w:cs="Arial"/>
          <w:sz w:val="22"/>
          <w:szCs w:val="22"/>
        </w:rPr>
      </w:pPr>
    </w:p>
    <w:p w14:paraId="6CCA7304"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 xml:space="preserve">Se compara los saldos contables frente a los extractos Bancarios, las cuentas del Banco de la república 61010435, 61010427 y 61016978 tienen traslado diario automático de saldo a la cuenta pagadora 61016960 por lo cual su saldo siempre es CERO, mientras que las cuentas del Banco Agrario 300700006830 y 300700007242 tienen traslado automático semanal de saldo a la cuenta pagadora 91016960 del Banco de la República, por ende no se presentan partidas conciliatorias, para la cuenta del Citibank en Dólares Americanos 36277554, el saldo es expresado en pesos colombianos y se realiza el ajuste de valorización o desvalorización pertinente. </w:t>
      </w:r>
    </w:p>
    <w:p w14:paraId="2DAB51E5"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 xml:space="preserve"> </w:t>
      </w:r>
    </w:p>
    <w:p w14:paraId="20719855" w14:textId="77777777" w:rsidR="007C7EF4" w:rsidRPr="00CD459A" w:rsidRDefault="007C7EF4" w:rsidP="007C7EF4">
      <w:pPr>
        <w:ind w:right="57"/>
        <w:jc w:val="both"/>
        <w:rPr>
          <w:rFonts w:ascii="Verdana" w:hAnsi="Verdana" w:cs="Arial"/>
        </w:rPr>
      </w:pPr>
      <w:r w:rsidRPr="00CD459A">
        <w:rPr>
          <w:rFonts w:ascii="Verdana" w:hAnsi="Verdana" w:cs="Arial"/>
        </w:rPr>
        <w:t xml:space="preserve">REVELACIONES </w:t>
      </w:r>
    </w:p>
    <w:p w14:paraId="40EDBC10"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lang w:val="es-CO"/>
        </w:rPr>
        <w:t xml:space="preserve">De cada cuenta bancaria se revelará la entidad financiera, cuenta bancaria, saldo contable, saldo extracto y partidas conciliatorias. </w:t>
      </w:r>
    </w:p>
    <w:p w14:paraId="7B547AB7" w14:textId="77777777" w:rsidR="007C7EF4" w:rsidRPr="00CD459A" w:rsidRDefault="007C7EF4" w:rsidP="007C7EF4">
      <w:pPr>
        <w:pStyle w:val="Textoindependiente"/>
        <w:ind w:right="47"/>
        <w:rPr>
          <w:rFonts w:ascii="Verdana" w:hAnsi="Verdana" w:cs="Arial"/>
          <w:sz w:val="22"/>
          <w:szCs w:val="22"/>
        </w:rPr>
      </w:pPr>
    </w:p>
    <w:p w14:paraId="72F4B491"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DINÁMICA </w:t>
      </w:r>
    </w:p>
    <w:p w14:paraId="30C002B5" w14:textId="77777777" w:rsidR="007C7EF4" w:rsidRPr="00CD459A" w:rsidRDefault="007C7EF4" w:rsidP="007C7EF4">
      <w:pPr>
        <w:pStyle w:val="Textoindependiente"/>
        <w:ind w:right="47"/>
        <w:rPr>
          <w:rFonts w:ascii="Verdana" w:hAnsi="Verdana" w:cs="Arial"/>
          <w:sz w:val="22"/>
          <w:szCs w:val="22"/>
        </w:rPr>
      </w:pPr>
    </w:p>
    <w:p w14:paraId="5134A01C"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SE DEBITA CON: </w:t>
      </w:r>
    </w:p>
    <w:p w14:paraId="6AEF4183" w14:textId="77777777" w:rsidR="007C7EF4" w:rsidRPr="00CD459A" w:rsidRDefault="007C7EF4" w:rsidP="007C7EF4">
      <w:pPr>
        <w:pStyle w:val="Textoindependiente"/>
        <w:ind w:right="47"/>
        <w:rPr>
          <w:rFonts w:ascii="Verdana" w:hAnsi="Verdana" w:cs="Arial"/>
          <w:sz w:val="22"/>
          <w:szCs w:val="22"/>
        </w:rPr>
      </w:pPr>
    </w:p>
    <w:p w14:paraId="77B13BA4"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 xml:space="preserve">El valor de las transferencias por liquidación de regalías realizada por la ANH y la ANM, con crédito a la subcuenta 138444 – Regalías y rendimientos pendientes de transferir al Sistema General de Regalías por el valor de las regalías en dinero o en la subcuenta 153043 – Inventario en poder de terceros por el valor de las regalías en especie. </w:t>
      </w:r>
    </w:p>
    <w:p w14:paraId="654A08EC"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consignación de rendimientos financieros generado por los recursos del Sistema General de Regalías en cuentas bancarias administradas por las diferentes entidades, con crédito a la subcuenta 138444 – Regalías y rendimientos pendientes de transferir al Sistema General de Regalías.</w:t>
      </w:r>
    </w:p>
    <w:p w14:paraId="644539CC"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consignación por reintegros de saldos no ejecutados por las entidades territoriales y/o ejecutores de proyectos, o reintegros por pagos en exceso o no debido ordenados por los órganos ejecutores del SGR, con crédito a la subcuenta 240720 – Recaudos pro clasificar.</w:t>
      </w:r>
    </w:p>
    <w:p w14:paraId="4EC72ECF"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redención de depósitos remunerados constituidos con los excedentes de liquidez en el Banco de la República a favor del SGR, con crédito a la subcuenta 111012 – Depósitos Remunerados.</w:t>
      </w:r>
    </w:p>
    <w:p w14:paraId="4A5BA406"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redención de depósitos remunerados por el Tesoro Nacional constituidos con los excedentes de liquidez, con crédito a la subcuenta 190801 - Recursos entregados en administración.</w:t>
      </w:r>
    </w:p>
    <w:p w14:paraId="38B05871"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Aplicación de pagos no exitosos, con crédito a la subcuenta 240316 – Sistema General de Regalías.</w:t>
      </w:r>
    </w:p>
    <w:p w14:paraId="603DADDB" w14:textId="77777777" w:rsidR="007C7EF4" w:rsidRPr="00CD459A" w:rsidRDefault="007C7EF4" w:rsidP="00AB3D96">
      <w:pPr>
        <w:numPr>
          <w:ilvl w:val="0"/>
          <w:numId w:val="27"/>
        </w:numPr>
        <w:suppressLineNumbers/>
        <w:tabs>
          <w:tab w:val="left" w:pos="-720"/>
        </w:tabs>
        <w:spacing w:after="0" w:line="240" w:lineRule="auto"/>
        <w:ind w:right="51"/>
        <w:jc w:val="both"/>
        <w:rPr>
          <w:rFonts w:ascii="Verdana" w:hAnsi="Verdana" w:cs="Arial"/>
        </w:rPr>
      </w:pPr>
      <w:r w:rsidRPr="00CD459A">
        <w:rPr>
          <w:rFonts w:ascii="Verdana" w:hAnsi="Verdana" w:cs="Arial"/>
        </w:rPr>
        <w:t>Las demás operaciones que impliquen entrada de recursos a las cuentas bancarias del SGR, con crédito a la subcuenta que corresponda al origen de la operación que genera el movimiento, de tal forma que puede ser una cuenta del Activo, pasivo, ingresos o gastos.</w:t>
      </w:r>
    </w:p>
    <w:p w14:paraId="39439D59" w14:textId="77777777" w:rsidR="007C7EF4" w:rsidRPr="00CD459A" w:rsidRDefault="007C7EF4" w:rsidP="007C7EF4">
      <w:pPr>
        <w:pStyle w:val="Textoindependiente"/>
        <w:ind w:right="47"/>
        <w:rPr>
          <w:rFonts w:ascii="Verdana" w:hAnsi="Verdana" w:cs="Arial"/>
          <w:sz w:val="22"/>
          <w:szCs w:val="22"/>
          <w:lang w:val="es-CO"/>
        </w:rPr>
      </w:pPr>
    </w:p>
    <w:p w14:paraId="71F843A9"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ACREDITA CON: </w:t>
      </w:r>
    </w:p>
    <w:p w14:paraId="5C488C8D" w14:textId="77777777" w:rsidR="007C7EF4" w:rsidRPr="00CD459A" w:rsidRDefault="007C7EF4" w:rsidP="007C7EF4">
      <w:pPr>
        <w:pStyle w:val="Textoindependiente"/>
        <w:ind w:right="47"/>
        <w:rPr>
          <w:rFonts w:ascii="Verdana" w:hAnsi="Verdana" w:cs="Arial"/>
          <w:sz w:val="22"/>
          <w:szCs w:val="22"/>
          <w:lang w:val="es-CO"/>
        </w:rPr>
      </w:pPr>
    </w:p>
    <w:p w14:paraId="6644D543" w14:textId="77777777" w:rsidR="007C7EF4" w:rsidRPr="00CD459A" w:rsidRDefault="007C7EF4" w:rsidP="00AB3D96">
      <w:pPr>
        <w:numPr>
          <w:ilvl w:val="0"/>
          <w:numId w:val="29"/>
        </w:numPr>
        <w:suppressLineNumbers/>
        <w:tabs>
          <w:tab w:val="left" w:pos="-720"/>
        </w:tabs>
        <w:spacing w:after="0" w:line="240" w:lineRule="auto"/>
        <w:ind w:right="51"/>
        <w:jc w:val="both"/>
        <w:rPr>
          <w:rFonts w:ascii="Verdana" w:hAnsi="Verdana" w:cs="Arial"/>
        </w:rPr>
      </w:pPr>
      <w:r w:rsidRPr="00CD459A">
        <w:rPr>
          <w:rFonts w:ascii="Verdana" w:hAnsi="Verdana" w:cs="Arial"/>
        </w:rPr>
        <w:t>Giro a las entidades territoriales de los valores distribuidos por el DNP a su favor por concepto de asignaciones directas y Fondo de Compensación Regional de impacto local, con debito a la subcuenta 240316 – Sistema General de Regalías</w:t>
      </w:r>
    </w:p>
    <w:p w14:paraId="79B65596"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Giro a los ejecutores de proyectos designados por el OCAD para proyectos financiados con recursos de los diferentes fondos, con debito a la subcuenta 240316 – Sistema General de Regalías.</w:t>
      </w:r>
    </w:p>
    <w:p w14:paraId="62FE4B0F"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Giro para el Fideicomiso FAE administrado por el Banco de la República, de acuerdo con la distribución realizada por el DNP, con debito a la subcuenta 190801- Recursos entregados en Administración.</w:t>
      </w:r>
    </w:p>
    <w:p w14:paraId="50926A1F"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Giro a las fiduciarias designadas para administrar el Ahorro pensional Territorial de cada entidad territorial, de acuerdo con la distribución realizada por el DNP, con debito a la subcuenta 240316 – Sistema General de Regalías.</w:t>
      </w:r>
    </w:p>
    <w:p w14:paraId="1BFE01C7"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Giro a los beneficiarios finales de los pagos ordenados por los órganos ejecutores de recursos del SGR, con debito a la subcuenta 240316 – Sistema General de Regalías.</w:t>
      </w:r>
    </w:p>
    <w:p w14:paraId="7A96F2F3"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constitución de depósitos remunerados en el Banco de la República a favor del SGR, realizados con los excedentes de liquidez, con debito a la subcuenta 111012 – Depósitos Remunerados.</w:t>
      </w:r>
    </w:p>
    <w:p w14:paraId="0BF3554F"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El valor de la constitución de depósitos remunerados por el Tesoro Nacional, realizados con los excedentes de liquidez, con debito a la subcuenta 190801 – Recursos entregados en administración.</w:t>
      </w:r>
    </w:p>
    <w:p w14:paraId="111C6316" w14:textId="77777777" w:rsidR="007C7EF4" w:rsidRPr="00CD459A" w:rsidRDefault="007C7EF4" w:rsidP="00AB3D96">
      <w:pPr>
        <w:numPr>
          <w:ilvl w:val="0"/>
          <w:numId w:val="28"/>
        </w:numPr>
        <w:suppressLineNumbers/>
        <w:tabs>
          <w:tab w:val="left" w:pos="-720"/>
        </w:tabs>
        <w:spacing w:after="0" w:line="240" w:lineRule="auto"/>
        <w:ind w:right="51"/>
        <w:jc w:val="both"/>
        <w:rPr>
          <w:rFonts w:ascii="Verdana" w:hAnsi="Verdana" w:cs="Arial"/>
        </w:rPr>
      </w:pPr>
      <w:r w:rsidRPr="00CD459A">
        <w:rPr>
          <w:rFonts w:ascii="Verdana" w:hAnsi="Verdana" w:cs="Arial"/>
        </w:rPr>
        <w:t>Las demás operaciones que impliquen salida de recursos de las cuentas bancarias del SGR con debito a la subcuenta que corresponda al origen de la operación que genera el movimiento, de tal forma que puede ser una cuenta del Activo, pasivo, ingresos o gastos.</w:t>
      </w:r>
    </w:p>
    <w:p w14:paraId="0911FCFE" w14:textId="77777777" w:rsidR="007C7EF4" w:rsidRPr="00CD459A" w:rsidRDefault="007C7EF4" w:rsidP="007C7EF4">
      <w:pPr>
        <w:spacing w:before="20"/>
        <w:jc w:val="both"/>
        <w:rPr>
          <w:rFonts w:ascii="Verdana" w:hAnsi="Verdana" w:cs="Arial"/>
        </w:rPr>
      </w:pPr>
    </w:p>
    <w:tbl>
      <w:tblPr>
        <w:tblW w:w="0" w:type="auto"/>
        <w:tblInd w:w="177" w:type="dxa"/>
        <w:tblLayout w:type="fixed"/>
        <w:tblCellMar>
          <w:left w:w="0" w:type="dxa"/>
          <w:right w:w="0" w:type="dxa"/>
        </w:tblCellMar>
        <w:tblLook w:val="01E0" w:firstRow="1" w:lastRow="1" w:firstColumn="1" w:lastColumn="1" w:noHBand="0" w:noVBand="0"/>
      </w:tblPr>
      <w:tblGrid>
        <w:gridCol w:w="1985"/>
        <w:gridCol w:w="3645"/>
        <w:gridCol w:w="2835"/>
      </w:tblGrid>
      <w:tr w:rsidR="00CD459A" w:rsidRPr="00CD459A" w14:paraId="4DD1FFD8" w14:textId="77777777" w:rsidTr="003B74CE">
        <w:trPr>
          <w:trHeight w:hRule="exact" w:val="495"/>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12234004"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6D5BA594" w14:textId="77777777" w:rsidR="007C7EF4" w:rsidRPr="00CD459A" w:rsidRDefault="007C7EF4" w:rsidP="003B74CE">
            <w:pPr>
              <w:pStyle w:val="TableParagraph"/>
              <w:spacing w:before="81"/>
              <w:ind w:right="1368"/>
              <w:jc w:val="center"/>
              <w:rPr>
                <w:rFonts w:ascii="Verdana" w:hAnsi="Verdana" w:cs="Arial"/>
                <w:b/>
                <w:bCs/>
              </w:rPr>
            </w:pPr>
            <w:r w:rsidRPr="00CD459A">
              <w:rPr>
                <w:rFonts w:ascii="Verdana" w:hAnsi="Verdana" w:cs="Arial"/>
                <w:b/>
                <w:bCs/>
              </w:rPr>
              <w:t>GRUPO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6FEC0D95" w14:textId="77777777" w:rsidR="007C7EF4" w:rsidRPr="00CD459A" w:rsidRDefault="007C7EF4" w:rsidP="003B74CE">
            <w:pPr>
              <w:pStyle w:val="TableParagraph"/>
              <w:spacing w:before="81"/>
              <w:ind w:right="1372"/>
              <w:jc w:val="center"/>
              <w:rPr>
                <w:rFonts w:ascii="Verdana" w:hAnsi="Verdana" w:cs="Arial"/>
                <w:b/>
                <w:bCs/>
              </w:rPr>
            </w:pPr>
            <w:r w:rsidRPr="00CD459A">
              <w:rPr>
                <w:rFonts w:ascii="Verdana" w:hAnsi="Verdana" w:cs="Arial"/>
                <w:b/>
                <w:bCs/>
              </w:rPr>
              <w:t>CUENTA</w:t>
            </w:r>
          </w:p>
        </w:tc>
      </w:tr>
      <w:tr w:rsidR="00CD459A" w:rsidRPr="00CD459A" w14:paraId="538345E0"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C50DEE8"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1</w:t>
            </w:r>
          </w:p>
        </w:tc>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1584312B"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13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B5EEBA8" w14:textId="77777777" w:rsidR="007C7EF4" w:rsidRPr="00CD459A" w:rsidRDefault="007C7EF4" w:rsidP="003B74CE">
            <w:pPr>
              <w:jc w:val="both"/>
              <w:rPr>
                <w:rFonts w:ascii="Verdana" w:hAnsi="Verdana" w:cs="Arial"/>
              </w:rPr>
            </w:pPr>
          </w:p>
        </w:tc>
      </w:tr>
      <w:tr w:rsidR="00CD459A" w:rsidRPr="00CD459A" w14:paraId="31B5B7F0"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6E1C84E7"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57238CA6"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CUENTAS POR</w:t>
            </w:r>
            <w:r w:rsidRPr="00CD459A">
              <w:rPr>
                <w:rFonts w:ascii="Verdana" w:hAnsi="Verdana" w:cs="Arial"/>
                <w:spacing w:val="-6"/>
              </w:rPr>
              <w:t xml:space="preserve"> </w:t>
            </w:r>
            <w:r w:rsidRPr="00CD459A">
              <w:rPr>
                <w:rFonts w:ascii="Verdana" w:hAnsi="Verdana" w:cs="Arial"/>
              </w:rPr>
              <w:t>COBRAR</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9D7AA87" w14:textId="77777777" w:rsidR="007C7EF4" w:rsidRPr="00CD459A" w:rsidRDefault="007C7EF4" w:rsidP="003B74CE">
            <w:pPr>
              <w:jc w:val="both"/>
              <w:rPr>
                <w:rFonts w:ascii="Verdana" w:hAnsi="Verdana" w:cs="Arial"/>
              </w:rPr>
            </w:pPr>
          </w:p>
        </w:tc>
      </w:tr>
    </w:tbl>
    <w:p w14:paraId="235E4330" w14:textId="77777777" w:rsidR="007C7EF4" w:rsidRPr="00CD459A" w:rsidRDefault="007C7EF4" w:rsidP="007C7EF4">
      <w:pPr>
        <w:suppressLineNumbers/>
        <w:tabs>
          <w:tab w:val="left" w:pos="-720"/>
        </w:tabs>
        <w:ind w:left="360" w:right="51"/>
        <w:jc w:val="both"/>
        <w:rPr>
          <w:rFonts w:ascii="Verdana" w:hAnsi="Verdana" w:cs="Arial"/>
        </w:rPr>
      </w:pPr>
    </w:p>
    <w:p w14:paraId="72444979"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DESCRIPCIÓN</w:t>
      </w:r>
    </w:p>
    <w:p w14:paraId="40C39A46" w14:textId="77777777" w:rsidR="007C7EF4" w:rsidRPr="00CD459A" w:rsidRDefault="007C7EF4" w:rsidP="007C7EF4">
      <w:pPr>
        <w:pStyle w:val="Textoindependiente"/>
        <w:ind w:right="47"/>
        <w:rPr>
          <w:rFonts w:ascii="Verdana" w:hAnsi="Verdana" w:cs="Arial"/>
          <w:sz w:val="22"/>
          <w:szCs w:val="22"/>
          <w:lang w:val="es-ES_tradnl"/>
        </w:rPr>
      </w:pPr>
    </w:p>
    <w:p w14:paraId="2B0237E3" w14:textId="77777777" w:rsidR="007C7EF4" w:rsidRPr="00CD459A" w:rsidRDefault="007C7EF4" w:rsidP="007C7EF4">
      <w:pPr>
        <w:pStyle w:val="Textoindependiente"/>
        <w:ind w:right="47"/>
        <w:rPr>
          <w:rFonts w:ascii="Verdana" w:hAnsi="Verdana" w:cs="Arial"/>
          <w:sz w:val="22"/>
          <w:szCs w:val="22"/>
          <w:lang w:val="es-ES_tradnl"/>
        </w:rPr>
      </w:pPr>
      <w:r w:rsidRPr="00CD459A">
        <w:rPr>
          <w:rFonts w:ascii="Verdana" w:hAnsi="Verdana" w:cs="Arial"/>
          <w:sz w:val="22"/>
          <w:szCs w:val="22"/>
          <w:lang w:val="es-ES_tradnl"/>
        </w:rPr>
        <w:t>En esta denominación, se incluyen las cuentas que representan los derechos adquiridos por la entidad en desarrollo de sus actividades, de los cuales se espere, a futuro, la entrada de un flujo financiero fijo o determinable, a través de efectivo, equivalentes al efectivo u otro instrumento financiero. Estas partidas incluyen los derechos originados en transacciones sin contraprestación, tales como la venta de bienes y servicios; y en transacciones sin contraprestación, tales como impuestos y transferencias.</w:t>
      </w:r>
    </w:p>
    <w:p w14:paraId="0F26CBBF" w14:textId="77777777" w:rsidR="007C7EF4" w:rsidRPr="00CD459A" w:rsidRDefault="007C7EF4" w:rsidP="007C7EF4">
      <w:pPr>
        <w:suppressLineNumbers/>
        <w:tabs>
          <w:tab w:val="left" w:pos="-720"/>
        </w:tabs>
        <w:ind w:left="360" w:right="51"/>
        <w:jc w:val="both"/>
        <w:rPr>
          <w:rFonts w:ascii="Verdana" w:hAnsi="Verdana" w:cs="Arial"/>
        </w:rPr>
      </w:pPr>
    </w:p>
    <w:p w14:paraId="5E630E6A"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 xml:space="preserve">OBJETIVO </w:t>
      </w:r>
    </w:p>
    <w:p w14:paraId="6A09B56C"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 las cuentas por cobrar en los Estados Financieros del Sistema General de Regalias. </w:t>
      </w:r>
    </w:p>
    <w:p w14:paraId="1181D398" w14:textId="77777777" w:rsidR="007C7EF4" w:rsidRPr="00CD459A" w:rsidRDefault="007C7EF4" w:rsidP="007C7EF4">
      <w:pPr>
        <w:suppressLineNumbers/>
        <w:tabs>
          <w:tab w:val="left" w:pos="-720"/>
        </w:tabs>
        <w:ind w:right="51"/>
        <w:jc w:val="both"/>
        <w:rPr>
          <w:rFonts w:ascii="Verdana" w:hAnsi="Verdana" w:cs="Arial"/>
          <w:lang w:val="es-ES_tradnl" w:eastAsia="es-CO"/>
        </w:rPr>
      </w:pPr>
    </w:p>
    <w:p w14:paraId="3C9F1C26"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 xml:space="preserve">ALCANCE </w:t>
      </w:r>
    </w:p>
    <w:p w14:paraId="2819CFB9"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Esta política se aplicará en la contabilización de las cuentas por cobrar del Sistema General de Regalías.</w:t>
      </w:r>
    </w:p>
    <w:p w14:paraId="798F2DB6" w14:textId="77777777" w:rsidR="007C7EF4" w:rsidRPr="00CD459A" w:rsidRDefault="007C7EF4" w:rsidP="007C7EF4">
      <w:pPr>
        <w:jc w:val="both"/>
        <w:rPr>
          <w:rFonts w:ascii="Verdana" w:hAnsi="Verdana" w:cs="Arial"/>
          <w:lang w:val="es-ES_tradnl" w:eastAsia="es-CO"/>
        </w:rPr>
      </w:pPr>
    </w:p>
    <w:p w14:paraId="04D987B9" w14:textId="77777777" w:rsidR="007C7EF4" w:rsidRPr="00CD459A" w:rsidRDefault="007C7EF4" w:rsidP="007C7EF4">
      <w:pPr>
        <w:jc w:val="both"/>
        <w:rPr>
          <w:rFonts w:ascii="Verdana" w:hAnsi="Verdana" w:cs="Arial"/>
          <w:lang w:val="es-ES_tradnl" w:eastAsia="es-CO"/>
        </w:rPr>
      </w:pPr>
      <w:bookmarkStart w:id="763" w:name="_Toc520127251"/>
      <w:bookmarkStart w:id="764" w:name="_Toc529890319"/>
      <w:r w:rsidRPr="00CD459A">
        <w:rPr>
          <w:rFonts w:ascii="Verdana" w:hAnsi="Verdana" w:cs="Arial"/>
          <w:lang w:val="es-ES_tradnl" w:eastAsia="es-CO"/>
        </w:rPr>
        <w:t>REFERENCIA A MARCO NORMATIVO DE ENTIDADES DE GOBIERNO</w:t>
      </w:r>
      <w:bookmarkEnd w:id="763"/>
      <w:bookmarkEnd w:id="764"/>
    </w:p>
    <w:tbl>
      <w:tblPr>
        <w:tblW w:w="0" w:type="auto"/>
        <w:tblInd w:w="108" w:type="dxa"/>
        <w:tblBorders>
          <w:bottom w:val="single" w:sz="12" w:space="0" w:color="000000"/>
        </w:tblBorders>
        <w:tblLook w:val="0420" w:firstRow="1" w:lastRow="0" w:firstColumn="0" w:lastColumn="0" w:noHBand="0" w:noVBand="1"/>
      </w:tblPr>
      <w:tblGrid>
        <w:gridCol w:w="4464"/>
        <w:gridCol w:w="4266"/>
      </w:tblGrid>
      <w:tr w:rsidR="00CD459A" w:rsidRPr="00CD459A" w14:paraId="2E7DE737" w14:textId="77777777" w:rsidTr="00355F8E">
        <w:tc>
          <w:tcPr>
            <w:tcW w:w="4464" w:type="dxa"/>
            <w:tcBorders>
              <w:bottom w:val="single" w:sz="12" w:space="0" w:color="000000"/>
            </w:tcBorders>
            <w:shd w:val="solid" w:color="2F5395" w:fill="FFFFFF"/>
          </w:tcPr>
          <w:p w14:paraId="62F06B7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66" w:type="dxa"/>
            <w:tcBorders>
              <w:bottom w:val="single" w:sz="12" w:space="0" w:color="000000"/>
            </w:tcBorders>
            <w:shd w:val="solid" w:color="2F5395" w:fill="FFFFFF"/>
          </w:tcPr>
          <w:p w14:paraId="3C589CA3"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17F66AD7" w14:textId="77777777" w:rsidTr="00355F8E">
        <w:tc>
          <w:tcPr>
            <w:tcW w:w="4464" w:type="dxa"/>
            <w:tcBorders>
              <w:top w:val="single" w:sz="12" w:space="0" w:color="000000"/>
              <w:bottom w:val="nil"/>
            </w:tcBorders>
            <w:shd w:val="pct20" w:color="FFFFFF" w:fill="FFFFFF"/>
          </w:tcPr>
          <w:p w14:paraId="2F1C0631" w14:textId="77777777" w:rsidR="007C7EF4" w:rsidRPr="00CD459A" w:rsidRDefault="007C7EF4" w:rsidP="00AB3D96">
            <w:pPr>
              <w:numPr>
                <w:ilvl w:val="0"/>
                <w:numId w:val="90"/>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66" w:type="dxa"/>
            <w:tcBorders>
              <w:top w:val="single" w:sz="12" w:space="0" w:color="000000"/>
              <w:bottom w:val="nil"/>
            </w:tcBorders>
            <w:shd w:val="pct20" w:color="FFFFFF" w:fill="FFFFFF"/>
          </w:tcPr>
          <w:p w14:paraId="61265E24" w14:textId="77777777" w:rsidR="007C7EF4" w:rsidRPr="00CD459A" w:rsidRDefault="007C7EF4" w:rsidP="00AB3D96">
            <w:pPr>
              <w:numPr>
                <w:ilvl w:val="0"/>
                <w:numId w:val="90"/>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Grupo 13 – Cuentas por Cobrar</w:t>
            </w:r>
          </w:p>
        </w:tc>
      </w:tr>
      <w:tr w:rsidR="00CD459A" w:rsidRPr="00CD459A" w14:paraId="03128C36" w14:textId="77777777" w:rsidTr="00355F8E">
        <w:tc>
          <w:tcPr>
            <w:tcW w:w="4464" w:type="dxa"/>
            <w:tcBorders>
              <w:bottom w:val="single" w:sz="12" w:space="0" w:color="000000"/>
            </w:tcBorders>
            <w:shd w:val="pct20" w:color="FFFFFF" w:fill="FFFFFF"/>
          </w:tcPr>
          <w:p w14:paraId="636D72D3" w14:textId="77777777" w:rsidR="007C7EF4" w:rsidRPr="00CD459A" w:rsidRDefault="007C7EF4" w:rsidP="00AB3D96">
            <w:pPr>
              <w:numPr>
                <w:ilvl w:val="0"/>
                <w:numId w:val="90"/>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266" w:type="dxa"/>
            <w:tcBorders>
              <w:bottom w:val="single" w:sz="12" w:space="0" w:color="000000"/>
            </w:tcBorders>
            <w:shd w:val="pct20" w:color="FFFFFF" w:fill="FFFFFF"/>
          </w:tcPr>
          <w:p w14:paraId="78DAF5BF" w14:textId="77777777" w:rsidR="007C7EF4" w:rsidRPr="00CD459A" w:rsidRDefault="007C7EF4" w:rsidP="00AB3D96">
            <w:pPr>
              <w:numPr>
                <w:ilvl w:val="0"/>
                <w:numId w:val="90"/>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Capítulo I / Numeral 2. Cuentas por Cobrar</w:t>
            </w:r>
          </w:p>
        </w:tc>
      </w:tr>
    </w:tbl>
    <w:p w14:paraId="7999B5C7" w14:textId="77777777" w:rsidR="007C7EF4" w:rsidRPr="00CD459A" w:rsidRDefault="007C7EF4" w:rsidP="007C7EF4">
      <w:pPr>
        <w:suppressLineNumbers/>
        <w:tabs>
          <w:tab w:val="left" w:pos="-720"/>
        </w:tabs>
        <w:ind w:right="51"/>
        <w:jc w:val="both"/>
        <w:rPr>
          <w:rFonts w:ascii="Verdana" w:hAnsi="Verdana" w:cs="Arial"/>
        </w:rPr>
      </w:pPr>
    </w:p>
    <w:p w14:paraId="18DF7C0C" w14:textId="77777777" w:rsidR="007C7EF4" w:rsidRPr="00CD459A" w:rsidRDefault="007C7EF4" w:rsidP="007C7EF4">
      <w:pPr>
        <w:suppressLineNumbers/>
        <w:tabs>
          <w:tab w:val="left" w:pos="-720"/>
        </w:tabs>
        <w:ind w:right="51"/>
        <w:jc w:val="both"/>
        <w:rPr>
          <w:rFonts w:ascii="Verdana" w:hAnsi="Verdana" w:cs="Arial"/>
        </w:rPr>
      </w:pPr>
      <w:bookmarkStart w:id="765" w:name="_Toc515549388"/>
      <w:bookmarkStart w:id="766" w:name="_Toc515549782"/>
      <w:bookmarkStart w:id="767" w:name="_Toc520127252"/>
      <w:bookmarkStart w:id="768" w:name="_Toc529890320"/>
      <w:r w:rsidRPr="00CD459A">
        <w:rPr>
          <w:rFonts w:ascii="Verdana" w:hAnsi="Verdana" w:cs="Arial"/>
          <w:lang w:val="es-ES_tradnl" w:eastAsia="es-CO"/>
        </w:rPr>
        <w:t>ÁREAS Y/O ENTIDADES INVOLUCRADAS EN LA APLICACIÓN DE LA POLÍTICA</w:t>
      </w:r>
      <w:bookmarkEnd w:id="765"/>
      <w:bookmarkEnd w:id="766"/>
      <w:bookmarkEnd w:id="767"/>
      <w:bookmarkEnd w:id="768"/>
    </w:p>
    <w:p w14:paraId="2362FEFB"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 xml:space="preserve">La correcta aplicación de esta política de Cuentas por Cobrar está bajo la responsabilidad de las entidades que producen y/o generan la información que le otorga el derecho al Sistema General de Regalias. En tal sentido, dichas entidades deberán suministrar al Grupo de Contabilidad del SGR, la información que permita el adecuado reconocimiento, medición y revelación de las cuentas por cobrar, así: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98"/>
        <w:gridCol w:w="5530"/>
      </w:tblGrid>
      <w:tr w:rsidR="00CD459A" w:rsidRPr="00CD459A" w14:paraId="35242E7D" w14:textId="77777777" w:rsidTr="00355F8E">
        <w:trPr>
          <w:trHeight w:val="223"/>
          <w:tblHeader/>
          <w:jc w:val="center"/>
        </w:trPr>
        <w:tc>
          <w:tcPr>
            <w:tcW w:w="3298" w:type="dxa"/>
            <w:shd w:val="solid" w:color="2F5395" w:fill="FFFFFF"/>
            <w:vAlign w:val="center"/>
            <w:hideMark/>
          </w:tcPr>
          <w:p w14:paraId="57BCFE56" w14:textId="77777777" w:rsidR="007C7EF4" w:rsidRPr="00CD459A" w:rsidRDefault="007C7EF4" w:rsidP="003B74CE">
            <w:pPr>
              <w:jc w:val="both"/>
              <w:rPr>
                <w:rFonts w:ascii="Verdana" w:hAnsi="Verdana" w:cs="Arial"/>
                <w:b/>
                <w:bCs/>
                <w:iCs/>
                <w:lang w:val="es-ES_tradnl"/>
              </w:rPr>
            </w:pPr>
            <w:r w:rsidRPr="00CD459A">
              <w:rPr>
                <w:rFonts w:ascii="Verdana" w:hAnsi="Verdana" w:cs="Arial"/>
                <w:b/>
                <w:bCs/>
                <w:iCs/>
                <w:lang w:val="es-ES_tradnl"/>
              </w:rPr>
              <w:t>ÁREA/ ENTIDAD RESPONSABLE</w:t>
            </w:r>
          </w:p>
        </w:tc>
        <w:tc>
          <w:tcPr>
            <w:tcW w:w="5530" w:type="dxa"/>
            <w:shd w:val="solid" w:color="2F5395" w:fill="FFFFFF"/>
            <w:vAlign w:val="center"/>
            <w:hideMark/>
          </w:tcPr>
          <w:p w14:paraId="08761584" w14:textId="77777777" w:rsidR="007C7EF4" w:rsidRPr="00CD459A" w:rsidRDefault="007C7EF4" w:rsidP="003B74CE">
            <w:pPr>
              <w:jc w:val="both"/>
              <w:rPr>
                <w:rFonts w:ascii="Verdana" w:hAnsi="Verdana" w:cs="Arial"/>
                <w:b/>
                <w:bCs/>
                <w:iCs/>
                <w:lang w:val="es-ES_tradnl"/>
              </w:rPr>
            </w:pPr>
            <w:r w:rsidRPr="00CD459A">
              <w:rPr>
                <w:rFonts w:ascii="Verdana" w:hAnsi="Verdana" w:cs="Arial"/>
                <w:b/>
                <w:bCs/>
                <w:iCs/>
                <w:lang w:val="es-ES_tradnl"/>
              </w:rPr>
              <w:t>ACTIVIDAD</w:t>
            </w:r>
          </w:p>
        </w:tc>
      </w:tr>
      <w:tr w:rsidR="00CD459A" w:rsidRPr="00CD459A" w14:paraId="47993A9D" w14:textId="77777777" w:rsidTr="00355F8E">
        <w:trPr>
          <w:trHeight w:val="223"/>
          <w:jc w:val="center"/>
        </w:trPr>
        <w:tc>
          <w:tcPr>
            <w:tcW w:w="3298" w:type="dxa"/>
            <w:shd w:val="pct20" w:color="FFFFFF" w:fill="FFFFFF"/>
            <w:vAlign w:val="center"/>
          </w:tcPr>
          <w:p w14:paraId="48183A77"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Departamento Nacional de Planeación </w:t>
            </w:r>
          </w:p>
        </w:tc>
        <w:tc>
          <w:tcPr>
            <w:tcW w:w="5530" w:type="dxa"/>
            <w:shd w:val="pct20" w:color="FFFFFF" w:fill="FFFFFF"/>
            <w:vAlign w:val="center"/>
          </w:tcPr>
          <w:p w14:paraId="6487C4E4"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Informar acerca de los actos administrativos que imponen multas a favor del SGR.</w:t>
            </w:r>
          </w:p>
        </w:tc>
      </w:tr>
      <w:tr w:rsidR="00CD459A" w:rsidRPr="00CD459A" w14:paraId="7F221435" w14:textId="77777777" w:rsidTr="00355F8E">
        <w:trPr>
          <w:trHeight w:val="223"/>
          <w:jc w:val="center"/>
        </w:trPr>
        <w:tc>
          <w:tcPr>
            <w:tcW w:w="3298" w:type="dxa"/>
            <w:shd w:val="pct20" w:color="FFFFFF" w:fill="FFFFFF"/>
            <w:vAlign w:val="center"/>
          </w:tcPr>
          <w:p w14:paraId="5C6A866E"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Agencia Nacional de Minería </w:t>
            </w:r>
          </w:p>
        </w:tc>
        <w:tc>
          <w:tcPr>
            <w:tcW w:w="5530" w:type="dxa"/>
            <w:shd w:val="pct20" w:color="FFFFFF" w:fill="FFFFFF"/>
            <w:vAlign w:val="center"/>
          </w:tcPr>
          <w:p w14:paraId="7DB40B4A" w14:textId="77777777" w:rsidR="007C7EF4" w:rsidRPr="00CD459A" w:rsidRDefault="007C7EF4" w:rsidP="00AB3D96">
            <w:pPr>
              <w:numPr>
                <w:ilvl w:val="0"/>
                <w:numId w:val="91"/>
              </w:numPr>
              <w:spacing w:after="0" w:line="240" w:lineRule="auto"/>
              <w:ind w:left="317" w:hanging="279"/>
              <w:jc w:val="both"/>
              <w:rPr>
                <w:rFonts w:ascii="Verdana" w:hAnsi="Verdana" w:cs="Arial"/>
                <w:lang w:val="es-ES_tradnl"/>
              </w:rPr>
            </w:pPr>
            <w:r w:rsidRPr="00CD459A">
              <w:rPr>
                <w:rFonts w:ascii="Verdana" w:hAnsi="Verdana" w:cs="Arial"/>
                <w:bCs/>
                <w:lang w:val="es-ES_tradnl"/>
              </w:rPr>
              <w:t>Suministrar mensualmente certificación expedida por el contador de la Entidad, referente a la liquidación de Regalias.</w:t>
            </w:r>
          </w:p>
        </w:tc>
      </w:tr>
      <w:tr w:rsidR="00CD459A" w:rsidRPr="00CD459A" w14:paraId="3956B89D" w14:textId="77777777" w:rsidTr="00355F8E">
        <w:trPr>
          <w:trHeight w:val="223"/>
          <w:jc w:val="center"/>
        </w:trPr>
        <w:tc>
          <w:tcPr>
            <w:tcW w:w="3298" w:type="dxa"/>
            <w:shd w:val="pct20" w:color="FFFFFF" w:fill="FFFFFF"/>
            <w:vAlign w:val="center"/>
          </w:tcPr>
          <w:p w14:paraId="596E3F0C"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 Agencia Nacional de Hidrocarburos </w:t>
            </w:r>
          </w:p>
        </w:tc>
        <w:tc>
          <w:tcPr>
            <w:tcW w:w="5530" w:type="dxa"/>
            <w:shd w:val="pct20" w:color="FFFFFF" w:fill="FFFFFF"/>
            <w:vAlign w:val="center"/>
          </w:tcPr>
          <w:p w14:paraId="75758AB2"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Suministrar mensualmente certificación expedida por el contador de la Entidad, referente a la liquidación de Regalias.</w:t>
            </w:r>
          </w:p>
        </w:tc>
      </w:tr>
      <w:tr w:rsidR="00CD459A" w:rsidRPr="00CD459A" w14:paraId="387A7D7F" w14:textId="77777777" w:rsidTr="00355F8E">
        <w:trPr>
          <w:trHeight w:val="223"/>
          <w:jc w:val="center"/>
        </w:trPr>
        <w:tc>
          <w:tcPr>
            <w:tcW w:w="3298" w:type="dxa"/>
            <w:shd w:val="pct20" w:color="FFFFFF" w:fill="FFFFFF"/>
            <w:vAlign w:val="center"/>
          </w:tcPr>
          <w:p w14:paraId="4EF532E1"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Entidades Bancarias  </w:t>
            </w:r>
          </w:p>
        </w:tc>
        <w:tc>
          <w:tcPr>
            <w:tcW w:w="5530" w:type="dxa"/>
            <w:shd w:val="pct20" w:color="FFFFFF" w:fill="FFFFFF"/>
            <w:vAlign w:val="center"/>
          </w:tcPr>
          <w:p w14:paraId="2FADC565"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Suministrar Nit y Nombre de las Entidades que realizan transferencias y consignaciones en las cuentas bancarias del SGR.</w:t>
            </w:r>
          </w:p>
        </w:tc>
      </w:tr>
      <w:tr w:rsidR="00CD459A" w:rsidRPr="00CD459A" w14:paraId="5BB4EE02" w14:textId="77777777" w:rsidTr="00355F8E">
        <w:trPr>
          <w:trHeight w:val="223"/>
          <w:jc w:val="center"/>
        </w:trPr>
        <w:tc>
          <w:tcPr>
            <w:tcW w:w="3298" w:type="dxa"/>
            <w:shd w:val="pct20" w:color="FFFFFF" w:fill="FFFFFF"/>
            <w:vAlign w:val="center"/>
          </w:tcPr>
          <w:p w14:paraId="4E2D47C1"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Grupo de Contabilidad SGR</w:t>
            </w:r>
          </w:p>
        </w:tc>
        <w:tc>
          <w:tcPr>
            <w:tcW w:w="5530" w:type="dxa"/>
            <w:shd w:val="pct20" w:color="FFFFFF" w:fill="FFFFFF"/>
            <w:vAlign w:val="center"/>
          </w:tcPr>
          <w:p w14:paraId="3A26900E"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 las entidades antes mencionadas para realizar el registro, medición y revelación contable correspondiente.</w:t>
            </w:r>
          </w:p>
          <w:p w14:paraId="747133DD"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Consultar, verificar e imputar los recaudos por concepto de rendimientos financieros, reintegrados en las cuentas del SGR a través del módulo de ingresos del SPGR.</w:t>
            </w:r>
          </w:p>
          <w:p w14:paraId="35DF89C4"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Conciliar y depurar las partidas de cuentas por cobrar, identificando los casos especiales como deudas de difícil cobro, evidencias de deterioro, entre otras.</w:t>
            </w:r>
          </w:p>
        </w:tc>
      </w:tr>
    </w:tbl>
    <w:p w14:paraId="471B9958" w14:textId="77777777" w:rsidR="007C7EF4" w:rsidRPr="00CD459A" w:rsidRDefault="007C7EF4" w:rsidP="007C7EF4">
      <w:pPr>
        <w:suppressLineNumbers/>
        <w:tabs>
          <w:tab w:val="left" w:pos="-720"/>
        </w:tabs>
        <w:ind w:right="51"/>
        <w:jc w:val="both"/>
        <w:rPr>
          <w:rFonts w:ascii="Verdana" w:hAnsi="Verdana" w:cs="Arial"/>
        </w:rPr>
      </w:pPr>
    </w:p>
    <w:tbl>
      <w:tblPr>
        <w:tblW w:w="8510" w:type="dxa"/>
        <w:tblInd w:w="129" w:type="dxa"/>
        <w:tblLayout w:type="fixed"/>
        <w:tblCellMar>
          <w:left w:w="127" w:type="dxa"/>
          <w:right w:w="127" w:type="dxa"/>
        </w:tblCellMar>
        <w:tblLook w:val="0000" w:firstRow="0" w:lastRow="0" w:firstColumn="0" w:lastColumn="0" w:noHBand="0" w:noVBand="0"/>
      </w:tblPr>
      <w:tblGrid>
        <w:gridCol w:w="2176"/>
        <w:gridCol w:w="3163"/>
        <w:gridCol w:w="3171"/>
      </w:tblGrid>
      <w:tr w:rsidR="00CD459A" w:rsidRPr="00CD459A" w14:paraId="1F794B36" w14:textId="77777777" w:rsidTr="003B74CE">
        <w:trPr>
          <w:cantSplit/>
          <w:trHeight w:val="257"/>
        </w:trPr>
        <w:tc>
          <w:tcPr>
            <w:tcW w:w="2176" w:type="dxa"/>
            <w:tcBorders>
              <w:top w:val="single" w:sz="6" w:space="0" w:color="auto"/>
              <w:left w:val="single" w:sz="6" w:space="0" w:color="auto"/>
              <w:right w:val="single" w:sz="6" w:space="0" w:color="auto"/>
            </w:tcBorders>
          </w:tcPr>
          <w:p w14:paraId="08D69DEA"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3163" w:type="dxa"/>
            <w:tcBorders>
              <w:top w:val="single" w:sz="6" w:space="0" w:color="auto"/>
              <w:left w:val="single" w:sz="6" w:space="0" w:color="auto"/>
              <w:right w:val="single" w:sz="6" w:space="0" w:color="auto"/>
            </w:tcBorders>
          </w:tcPr>
          <w:p w14:paraId="2C74BE6D"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3171" w:type="dxa"/>
            <w:tcBorders>
              <w:top w:val="single" w:sz="6" w:space="0" w:color="auto"/>
              <w:left w:val="single" w:sz="6" w:space="0" w:color="auto"/>
              <w:right w:val="single" w:sz="6" w:space="0" w:color="auto"/>
            </w:tcBorders>
          </w:tcPr>
          <w:p w14:paraId="15BA19B7"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5850FA4F" w14:textId="77777777" w:rsidTr="003B74CE">
        <w:trPr>
          <w:cantSplit/>
          <w:trHeight w:val="250"/>
        </w:trPr>
        <w:tc>
          <w:tcPr>
            <w:tcW w:w="2176" w:type="dxa"/>
            <w:tcBorders>
              <w:top w:val="single" w:sz="6" w:space="0" w:color="auto"/>
              <w:left w:val="single" w:sz="6" w:space="0" w:color="auto"/>
              <w:bottom w:val="single" w:sz="6" w:space="0" w:color="auto"/>
              <w:right w:val="single" w:sz="6" w:space="0" w:color="auto"/>
            </w:tcBorders>
          </w:tcPr>
          <w:p w14:paraId="0B472645"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3163" w:type="dxa"/>
            <w:tcBorders>
              <w:top w:val="single" w:sz="6" w:space="0" w:color="auto"/>
              <w:left w:val="single" w:sz="6" w:space="0" w:color="auto"/>
              <w:bottom w:val="single" w:sz="6" w:space="0" w:color="auto"/>
              <w:right w:val="single" w:sz="6" w:space="0" w:color="auto"/>
            </w:tcBorders>
          </w:tcPr>
          <w:p w14:paraId="4393DBC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3171" w:type="dxa"/>
            <w:tcBorders>
              <w:top w:val="single" w:sz="6" w:space="0" w:color="auto"/>
              <w:left w:val="single" w:sz="6" w:space="0" w:color="auto"/>
              <w:bottom w:val="single" w:sz="6" w:space="0" w:color="auto"/>
              <w:right w:val="single" w:sz="6" w:space="0" w:color="auto"/>
            </w:tcBorders>
            <w:shd w:val="pct20" w:color="auto" w:fill="auto"/>
          </w:tcPr>
          <w:p w14:paraId="1A62B89C"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131102</w:t>
            </w:r>
          </w:p>
        </w:tc>
      </w:tr>
      <w:tr w:rsidR="00CD459A" w:rsidRPr="00CD459A" w14:paraId="55E76476" w14:textId="77777777" w:rsidTr="003B74CE">
        <w:trPr>
          <w:cantSplit/>
          <w:trHeight w:val="257"/>
        </w:trPr>
        <w:tc>
          <w:tcPr>
            <w:tcW w:w="2176" w:type="dxa"/>
            <w:tcBorders>
              <w:left w:val="single" w:sz="6" w:space="0" w:color="auto"/>
              <w:bottom w:val="single" w:sz="6" w:space="0" w:color="auto"/>
              <w:right w:val="single" w:sz="6" w:space="0" w:color="auto"/>
            </w:tcBorders>
          </w:tcPr>
          <w:p w14:paraId="359F8709"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3163" w:type="dxa"/>
            <w:tcBorders>
              <w:left w:val="single" w:sz="6" w:space="0" w:color="auto"/>
              <w:bottom w:val="single" w:sz="6" w:space="0" w:color="auto"/>
              <w:right w:val="single" w:sz="6" w:space="0" w:color="auto"/>
            </w:tcBorders>
          </w:tcPr>
          <w:p w14:paraId="440C320C"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3171" w:type="dxa"/>
            <w:tcBorders>
              <w:left w:val="single" w:sz="6" w:space="0" w:color="auto"/>
              <w:bottom w:val="single" w:sz="6" w:space="0" w:color="auto"/>
              <w:right w:val="single" w:sz="6" w:space="0" w:color="auto"/>
            </w:tcBorders>
            <w:shd w:val="pct20" w:color="auto" w:fill="auto"/>
          </w:tcPr>
          <w:p w14:paraId="22E8BEA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MULTAS Y SANCIONES</w:t>
            </w:r>
          </w:p>
        </w:tc>
      </w:tr>
    </w:tbl>
    <w:p w14:paraId="2905E181" w14:textId="77777777" w:rsidR="007C7EF4" w:rsidRPr="00CD459A" w:rsidRDefault="007C7EF4" w:rsidP="007C7EF4">
      <w:pPr>
        <w:suppressLineNumbers/>
        <w:tabs>
          <w:tab w:val="left" w:pos="-720"/>
          <w:tab w:val="left" w:pos="1134"/>
        </w:tabs>
        <w:ind w:right="51"/>
        <w:jc w:val="both"/>
        <w:rPr>
          <w:rFonts w:ascii="Verdana" w:hAnsi="Verdana" w:cs="Arial"/>
        </w:rPr>
      </w:pPr>
    </w:p>
    <w:p w14:paraId="61A8D526"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DESCRIPCIÓN </w:t>
      </w:r>
    </w:p>
    <w:p w14:paraId="2505F0FE" w14:textId="77777777" w:rsidR="007C7EF4" w:rsidRPr="00CD459A" w:rsidRDefault="007C7EF4" w:rsidP="007C7EF4">
      <w:pPr>
        <w:pStyle w:val="Normal11"/>
        <w:jc w:val="both"/>
        <w:rPr>
          <w:rFonts w:ascii="Verdana" w:hAnsi="Verdana" w:cs="Arial"/>
          <w:sz w:val="22"/>
          <w:szCs w:val="22"/>
          <w:lang w:val="es-ES_tradnl"/>
        </w:rPr>
      </w:pPr>
    </w:p>
    <w:p w14:paraId="6FFB001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Representa el valor que </w:t>
      </w:r>
      <w:r w:rsidRPr="00CD459A">
        <w:rPr>
          <w:rFonts w:ascii="Verdana" w:hAnsi="Verdana" w:cs="Arial"/>
        </w:rPr>
        <w:t>corresponde a las multas impuestas mediante resoluciones en firme emitidas por el DNP contempladas en el artículo 117 de la ley 1530 de 2012 y el artículo 164 de la ley 2056 de 2020 a los representantes legales de entidades territoriales como resultado del Sistema de Monitoreo Seguimiento Control y Evaluación del SGR</w:t>
      </w:r>
    </w:p>
    <w:p w14:paraId="0B402916" w14:textId="77777777" w:rsidR="007C7EF4" w:rsidRPr="00CD459A" w:rsidRDefault="007C7EF4" w:rsidP="007C7EF4">
      <w:pPr>
        <w:autoSpaceDE w:val="0"/>
        <w:autoSpaceDN w:val="0"/>
        <w:adjustRightInd w:val="0"/>
        <w:jc w:val="both"/>
        <w:rPr>
          <w:rFonts w:ascii="Verdana" w:hAnsi="Verdana" w:cs="Arial"/>
          <w:lang w:val="es-ES_tradnl"/>
        </w:rPr>
      </w:pPr>
    </w:p>
    <w:p w14:paraId="1BF48FAE" w14:textId="0B150F00"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1038C83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derechos por concepto de multas y sanciones se miden por el valor que impone el acto administrativo que emite el Departamento Nacional de Planeación.</w:t>
      </w:r>
    </w:p>
    <w:p w14:paraId="6D660D85" w14:textId="77777777" w:rsidR="007C7EF4" w:rsidRPr="00CD459A" w:rsidRDefault="007C7EF4" w:rsidP="007C7EF4">
      <w:pPr>
        <w:autoSpaceDE w:val="0"/>
        <w:autoSpaceDN w:val="0"/>
        <w:adjustRightInd w:val="0"/>
        <w:jc w:val="both"/>
        <w:rPr>
          <w:rFonts w:ascii="Verdana" w:hAnsi="Verdana" w:cs="Arial"/>
          <w:lang w:val="es-ES_tradnl"/>
        </w:rPr>
      </w:pPr>
    </w:p>
    <w:p w14:paraId="7F2186D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453FCCE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Certificación Departamento Nacional de Planeación. </w:t>
      </w:r>
    </w:p>
    <w:p w14:paraId="3BA51A8E" w14:textId="77777777" w:rsidR="007C7EF4" w:rsidRPr="00CD459A" w:rsidRDefault="007C7EF4" w:rsidP="007C7EF4">
      <w:pPr>
        <w:autoSpaceDE w:val="0"/>
        <w:autoSpaceDN w:val="0"/>
        <w:adjustRightInd w:val="0"/>
        <w:jc w:val="both"/>
        <w:rPr>
          <w:rFonts w:ascii="Verdana" w:hAnsi="Verdana" w:cs="Arial"/>
          <w:lang w:val="es-ES_tradnl"/>
        </w:rPr>
      </w:pPr>
    </w:p>
    <w:p w14:paraId="47F8827E"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22014B2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por tercero frente, al detalle remitido por el Departamento Nacional de Planeación.</w:t>
      </w:r>
    </w:p>
    <w:p w14:paraId="26AD76E8" w14:textId="77777777" w:rsidR="007C7EF4" w:rsidRPr="00CD459A" w:rsidRDefault="007C7EF4" w:rsidP="007C7EF4">
      <w:pPr>
        <w:autoSpaceDE w:val="0"/>
        <w:autoSpaceDN w:val="0"/>
        <w:adjustRightInd w:val="0"/>
        <w:jc w:val="both"/>
        <w:rPr>
          <w:rFonts w:ascii="Verdana" w:hAnsi="Verdana" w:cs="Arial"/>
          <w:lang w:val="es-ES_tradnl"/>
        </w:rPr>
      </w:pPr>
    </w:p>
    <w:p w14:paraId="67B7644A" w14:textId="77777777" w:rsidR="007C7EF4" w:rsidRPr="00CD459A" w:rsidRDefault="007C7EF4" w:rsidP="007C7EF4">
      <w:pPr>
        <w:autoSpaceDE w:val="0"/>
        <w:autoSpaceDN w:val="0"/>
        <w:adjustRightInd w:val="0"/>
        <w:jc w:val="both"/>
        <w:rPr>
          <w:rFonts w:ascii="Verdana" w:hAnsi="Verdana" w:cs="Arial"/>
          <w:lang w:val="es-ES_tradnl"/>
        </w:rPr>
      </w:pPr>
    </w:p>
    <w:p w14:paraId="018F6C10"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5E7C3FB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saldo de la subcuenta 131102 será revelado discriminando el tercero que como deudor tiene la obligación con el Sistema General de Regalías.</w:t>
      </w:r>
    </w:p>
    <w:p w14:paraId="5FA5A134" w14:textId="77777777" w:rsidR="007C7EF4" w:rsidRPr="00CD459A" w:rsidRDefault="007C7EF4" w:rsidP="007C7EF4">
      <w:pPr>
        <w:autoSpaceDE w:val="0"/>
        <w:autoSpaceDN w:val="0"/>
        <w:adjustRightInd w:val="0"/>
        <w:jc w:val="both"/>
        <w:rPr>
          <w:rFonts w:ascii="Verdana" w:hAnsi="Verdana" w:cs="Arial"/>
          <w:lang w:val="es-ES_tradnl"/>
        </w:rPr>
      </w:pPr>
    </w:p>
    <w:p w14:paraId="70263189"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DINÁMICA </w:t>
      </w:r>
    </w:p>
    <w:p w14:paraId="04475952" w14:textId="77777777" w:rsidR="007C7EF4" w:rsidRPr="00CD459A" w:rsidRDefault="007C7EF4" w:rsidP="007C7EF4">
      <w:pPr>
        <w:pStyle w:val="Textoindependiente"/>
        <w:ind w:right="47"/>
        <w:rPr>
          <w:rFonts w:ascii="Verdana" w:hAnsi="Verdana" w:cs="Arial"/>
          <w:sz w:val="22"/>
          <w:szCs w:val="22"/>
          <w:lang w:val="es-CO"/>
        </w:rPr>
      </w:pPr>
    </w:p>
    <w:p w14:paraId="403A5EB4"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DEBITA CON: </w:t>
      </w:r>
    </w:p>
    <w:p w14:paraId="1A4FF6E9" w14:textId="77777777" w:rsidR="007C7EF4" w:rsidRPr="00CD459A" w:rsidRDefault="007C7EF4" w:rsidP="007C7EF4">
      <w:pPr>
        <w:pStyle w:val="Textoindependiente"/>
        <w:ind w:right="47"/>
        <w:rPr>
          <w:rFonts w:ascii="Verdana" w:hAnsi="Verdana" w:cs="Arial"/>
          <w:sz w:val="22"/>
          <w:szCs w:val="22"/>
          <w:lang w:val="es-CO"/>
        </w:rPr>
      </w:pPr>
    </w:p>
    <w:p w14:paraId="08C0021E" w14:textId="77777777" w:rsidR="007C7EF4" w:rsidRPr="00CD459A"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CO"/>
        </w:rPr>
        <w:t xml:space="preserve">El valor de la imposición de la multa en el acto administrativo emitido por el departamento Nacional de Planeación. </w:t>
      </w:r>
      <w:r w:rsidRPr="00CD459A">
        <w:rPr>
          <w:rFonts w:ascii="Verdana" w:hAnsi="Verdana" w:cs="Arial"/>
          <w:sz w:val="22"/>
          <w:szCs w:val="22"/>
          <w:lang w:val="es-ES_tradnl"/>
        </w:rPr>
        <w:t xml:space="preserve">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 la subcuenta 411002 - Multas.</w:t>
      </w:r>
    </w:p>
    <w:p w14:paraId="491DF896" w14:textId="77777777" w:rsidR="007C7EF4" w:rsidRPr="00CD459A" w:rsidRDefault="007C7EF4" w:rsidP="007C7EF4">
      <w:pPr>
        <w:pStyle w:val="Textoindependiente"/>
        <w:widowControl/>
        <w:ind w:left="360" w:right="388"/>
        <w:rPr>
          <w:rFonts w:ascii="Verdana" w:hAnsi="Verdana" w:cs="Arial"/>
          <w:sz w:val="22"/>
          <w:szCs w:val="22"/>
          <w:lang w:val="es-CO"/>
        </w:rPr>
      </w:pPr>
    </w:p>
    <w:p w14:paraId="1DD67B78" w14:textId="77777777" w:rsidR="007C7EF4" w:rsidRPr="00CD459A" w:rsidRDefault="007C7EF4" w:rsidP="007C7EF4">
      <w:pPr>
        <w:pStyle w:val="Textoindependiente"/>
        <w:ind w:right="47"/>
        <w:rPr>
          <w:rFonts w:ascii="Verdana" w:hAnsi="Verdana" w:cs="Arial"/>
          <w:sz w:val="22"/>
          <w:szCs w:val="22"/>
        </w:rPr>
      </w:pPr>
    </w:p>
    <w:p w14:paraId="484B706D" w14:textId="77777777" w:rsidR="007C7EF4" w:rsidRPr="00CD459A" w:rsidRDefault="007C7EF4" w:rsidP="007C7EF4">
      <w:pPr>
        <w:pStyle w:val="Textoindependiente"/>
        <w:ind w:right="47"/>
        <w:rPr>
          <w:rFonts w:ascii="Verdana" w:hAnsi="Verdana" w:cs="Arial"/>
          <w:sz w:val="22"/>
          <w:szCs w:val="22"/>
        </w:rPr>
      </w:pPr>
    </w:p>
    <w:p w14:paraId="1124EA87"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SE ACREDITA CON:</w:t>
      </w:r>
    </w:p>
    <w:p w14:paraId="50460A38" w14:textId="77777777" w:rsidR="007C7EF4" w:rsidRPr="00CD459A" w:rsidRDefault="007C7EF4" w:rsidP="007C7EF4">
      <w:pPr>
        <w:pStyle w:val="Textoindependiente"/>
        <w:ind w:right="47"/>
        <w:rPr>
          <w:rFonts w:ascii="Verdana" w:hAnsi="Verdana" w:cs="Arial"/>
          <w:sz w:val="22"/>
          <w:szCs w:val="22"/>
        </w:rPr>
      </w:pPr>
    </w:p>
    <w:p w14:paraId="2A02E3A2" w14:textId="77777777" w:rsidR="007C7EF4" w:rsidRPr="00CD459A" w:rsidRDefault="007C7EF4" w:rsidP="00AB3D96">
      <w:pPr>
        <w:pStyle w:val="Textoindependiente"/>
        <w:widowControl/>
        <w:numPr>
          <w:ilvl w:val="0"/>
          <w:numId w:val="30"/>
        </w:numPr>
        <w:ind w:right="247"/>
        <w:rPr>
          <w:rFonts w:ascii="Verdana" w:hAnsi="Verdana" w:cs="Arial"/>
          <w:sz w:val="22"/>
          <w:szCs w:val="22"/>
          <w:lang w:val="es-CO"/>
        </w:rPr>
      </w:pPr>
      <w:r w:rsidRPr="00CD459A">
        <w:rPr>
          <w:rFonts w:ascii="Verdana" w:hAnsi="Verdana" w:cs="Arial"/>
          <w:sz w:val="22"/>
          <w:szCs w:val="22"/>
          <w:lang w:val="es-CO"/>
        </w:rPr>
        <w:t>El valor de los recursos recaudados por concepto de multas y sanciones, con crédito a la subcuenta 114001- Sistema General de Regalías.</w:t>
      </w:r>
    </w:p>
    <w:p w14:paraId="4BE376CC" w14:textId="77777777" w:rsidR="007C7EF4" w:rsidRPr="00CD459A" w:rsidRDefault="007C7EF4" w:rsidP="007C7EF4">
      <w:pPr>
        <w:jc w:val="both"/>
        <w:rPr>
          <w:rFonts w:ascii="Verdana" w:hAnsi="Verdana" w:cs="Arial"/>
          <w:lang w:val="es-ES_tradnl"/>
        </w:rPr>
      </w:pPr>
    </w:p>
    <w:tbl>
      <w:tblPr>
        <w:tblW w:w="8510" w:type="dxa"/>
        <w:tblInd w:w="129" w:type="dxa"/>
        <w:tblLayout w:type="fixed"/>
        <w:tblCellMar>
          <w:left w:w="127" w:type="dxa"/>
          <w:right w:w="127" w:type="dxa"/>
        </w:tblCellMar>
        <w:tblLook w:val="0000" w:firstRow="0" w:lastRow="0" w:firstColumn="0" w:lastColumn="0" w:noHBand="0" w:noVBand="0"/>
      </w:tblPr>
      <w:tblGrid>
        <w:gridCol w:w="2176"/>
        <w:gridCol w:w="3163"/>
        <w:gridCol w:w="3171"/>
      </w:tblGrid>
      <w:tr w:rsidR="00CD459A" w:rsidRPr="00CD459A" w14:paraId="02F65799" w14:textId="77777777" w:rsidTr="003B74CE">
        <w:trPr>
          <w:cantSplit/>
          <w:trHeight w:val="257"/>
        </w:trPr>
        <w:tc>
          <w:tcPr>
            <w:tcW w:w="2176" w:type="dxa"/>
            <w:tcBorders>
              <w:top w:val="single" w:sz="6" w:space="0" w:color="auto"/>
              <w:left w:val="single" w:sz="6" w:space="0" w:color="auto"/>
              <w:right w:val="single" w:sz="6" w:space="0" w:color="auto"/>
            </w:tcBorders>
          </w:tcPr>
          <w:p w14:paraId="79D3BDD8"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3163" w:type="dxa"/>
            <w:tcBorders>
              <w:top w:val="single" w:sz="6" w:space="0" w:color="auto"/>
              <w:left w:val="single" w:sz="6" w:space="0" w:color="auto"/>
              <w:right w:val="single" w:sz="6" w:space="0" w:color="auto"/>
            </w:tcBorders>
          </w:tcPr>
          <w:p w14:paraId="4B26F131"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3171" w:type="dxa"/>
            <w:tcBorders>
              <w:top w:val="single" w:sz="6" w:space="0" w:color="auto"/>
              <w:left w:val="single" w:sz="6" w:space="0" w:color="auto"/>
              <w:right w:val="single" w:sz="6" w:space="0" w:color="auto"/>
            </w:tcBorders>
          </w:tcPr>
          <w:p w14:paraId="2FFFCA08"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54C214E8" w14:textId="77777777" w:rsidTr="003B74CE">
        <w:trPr>
          <w:cantSplit/>
          <w:trHeight w:val="250"/>
        </w:trPr>
        <w:tc>
          <w:tcPr>
            <w:tcW w:w="2176" w:type="dxa"/>
            <w:tcBorders>
              <w:top w:val="single" w:sz="6" w:space="0" w:color="auto"/>
              <w:left w:val="single" w:sz="6" w:space="0" w:color="auto"/>
              <w:bottom w:val="single" w:sz="6" w:space="0" w:color="auto"/>
              <w:right w:val="single" w:sz="6" w:space="0" w:color="auto"/>
            </w:tcBorders>
          </w:tcPr>
          <w:p w14:paraId="3F8B2F05"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3163" w:type="dxa"/>
            <w:tcBorders>
              <w:top w:val="single" w:sz="6" w:space="0" w:color="auto"/>
              <w:left w:val="single" w:sz="6" w:space="0" w:color="auto"/>
              <w:bottom w:val="single" w:sz="6" w:space="0" w:color="auto"/>
              <w:right w:val="single" w:sz="6" w:space="0" w:color="auto"/>
            </w:tcBorders>
          </w:tcPr>
          <w:p w14:paraId="5997B3A0"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3171" w:type="dxa"/>
            <w:tcBorders>
              <w:top w:val="single" w:sz="6" w:space="0" w:color="auto"/>
              <w:left w:val="single" w:sz="6" w:space="0" w:color="auto"/>
              <w:bottom w:val="single" w:sz="6" w:space="0" w:color="auto"/>
              <w:right w:val="single" w:sz="6" w:space="0" w:color="auto"/>
            </w:tcBorders>
            <w:shd w:val="pct20" w:color="auto" w:fill="auto"/>
          </w:tcPr>
          <w:p w14:paraId="2BD2E5A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131401</w:t>
            </w:r>
          </w:p>
        </w:tc>
      </w:tr>
      <w:tr w:rsidR="00CD459A" w:rsidRPr="00CD459A" w14:paraId="445F6F4B" w14:textId="77777777" w:rsidTr="003B74CE">
        <w:trPr>
          <w:cantSplit/>
          <w:trHeight w:val="257"/>
        </w:trPr>
        <w:tc>
          <w:tcPr>
            <w:tcW w:w="2176" w:type="dxa"/>
            <w:tcBorders>
              <w:left w:val="single" w:sz="6" w:space="0" w:color="auto"/>
              <w:bottom w:val="single" w:sz="6" w:space="0" w:color="auto"/>
              <w:right w:val="single" w:sz="6" w:space="0" w:color="auto"/>
            </w:tcBorders>
          </w:tcPr>
          <w:p w14:paraId="34A8FA2C"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3163" w:type="dxa"/>
            <w:tcBorders>
              <w:left w:val="single" w:sz="6" w:space="0" w:color="auto"/>
              <w:bottom w:val="single" w:sz="6" w:space="0" w:color="auto"/>
              <w:right w:val="single" w:sz="6" w:space="0" w:color="auto"/>
            </w:tcBorders>
          </w:tcPr>
          <w:p w14:paraId="5192476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3171" w:type="dxa"/>
            <w:tcBorders>
              <w:left w:val="single" w:sz="6" w:space="0" w:color="auto"/>
              <w:bottom w:val="single" w:sz="6" w:space="0" w:color="auto"/>
              <w:right w:val="single" w:sz="6" w:space="0" w:color="auto"/>
            </w:tcBorders>
            <w:shd w:val="pct20" w:color="auto" w:fill="auto"/>
          </w:tcPr>
          <w:p w14:paraId="73CAC11D"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HIDROCARBUROS</w:t>
            </w:r>
          </w:p>
        </w:tc>
      </w:tr>
    </w:tbl>
    <w:p w14:paraId="1C3D7088" w14:textId="77777777" w:rsidR="007C7EF4" w:rsidRPr="00CD459A" w:rsidRDefault="007C7EF4" w:rsidP="007C7EF4">
      <w:pPr>
        <w:suppressLineNumbers/>
        <w:tabs>
          <w:tab w:val="left" w:pos="-720"/>
          <w:tab w:val="left" w:pos="1134"/>
        </w:tabs>
        <w:ind w:right="51"/>
        <w:jc w:val="both"/>
        <w:rPr>
          <w:rFonts w:ascii="Verdana" w:hAnsi="Verdana" w:cs="Arial"/>
        </w:rPr>
      </w:pPr>
    </w:p>
    <w:p w14:paraId="7C12D48A"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DESCRIPCIÓN </w:t>
      </w:r>
    </w:p>
    <w:p w14:paraId="7970A8BE" w14:textId="77777777" w:rsidR="007C7EF4" w:rsidRPr="00CD459A" w:rsidRDefault="007C7EF4" w:rsidP="007C7EF4">
      <w:pPr>
        <w:pStyle w:val="Normal11"/>
        <w:jc w:val="both"/>
        <w:rPr>
          <w:rFonts w:ascii="Verdana" w:hAnsi="Verdana" w:cs="Arial"/>
          <w:sz w:val="22"/>
          <w:szCs w:val="22"/>
          <w:lang w:val="es-ES_tradnl"/>
        </w:rPr>
      </w:pPr>
    </w:p>
    <w:p w14:paraId="72066F8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Representa el valor de los derechos que posee el Sistema General de Regalías por regalías que fueron liquidadas y no han sido recaudadas por la ANH, porque los operadores no han realizado el pago para extinguir la obligación. </w:t>
      </w:r>
    </w:p>
    <w:p w14:paraId="7BF1FE56" w14:textId="77777777" w:rsidR="007C7EF4" w:rsidRPr="00CD459A" w:rsidRDefault="007C7EF4" w:rsidP="007C7EF4">
      <w:pPr>
        <w:autoSpaceDE w:val="0"/>
        <w:autoSpaceDN w:val="0"/>
        <w:adjustRightInd w:val="0"/>
        <w:jc w:val="both"/>
        <w:rPr>
          <w:rFonts w:ascii="Verdana" w:hAnsi="Verdana" w:cs="Arial"/>
          <w:lang w:val="es-ES_tradnl"/>
        </w:rPr>
      </w:pPr>
    </w:p>
    <w:p w14:paraId="0DB7172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5F3133EE"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derechos por concepto de regalías liquidadas no recaudadas se miden por el valor que la ANH en su facultad de liquidar y fiscalizar informe al Ministerio de Hacienda.</w:t>
      </w:r>
    </w:p>
    <w:p w14:paraId="7DA2133D" w14:textId="77777777" w:rsidR="007C7EF4" w:rsidRPr="00CD459A" w:rsidRDefault="007C7EF4" w:rsidP="007C7EF4">
      <w:pPr>
        <w:autoSpaceDE w:val="0"/>
        <w:autoSpaceDN w:val="0"/>
        <w:adjustRightInd w:val="0"/>
        <w:jc w:val="both"/>
        <w:rPr>
          <w:rFonts w:ascii="Verdana" w:hAnsi="Verdana" w:cs="Arial"/>
          <w:lang w:val="es-ES_tradnl"/>
        </w:rPr>
      </w:pPr>
    </w:p>
    <w:p w14:paraId="4DC90CEF"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2D3BD19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Certificación emitida por el Contador de la Agencia Nacional de Hidrocarburos. </w:t>
      </w:r>
    </w:p>
    <w:p w14:paraId="6AE4B0AC" w14:textId="77777777" w:rsidR="007C7EF4" w:rsidRPr="00CD459A" w:rsidRDefault="007C7EF4" w:rsidP="007C7EF4">
      <w:pPr>
        <w:autoSpaceDE w:val="0"/>
        <w:autoSpaceDN w:val="0"/>
        <w:adjustRightInd w:val="0"/>
        <w:jc w:val="both"/>
        <w:rPr>
          <w:rFonts w:ascii="Verdana" w:hAnsi="Verdana" w:cs="Arial"/>
          <w:lang w:val="es-ES_tradnl"/>
        </w:rPr>
      </w:pPr>
    </w:p>
    <w:p w14:paraId="625AAB5F"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39B57792"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Se compara el saldo contable por tercero frente, al detalle remitido por la Agencia Nacional de Hidrocarburos, de las Regalias liquidadas y no recaudadas por cada uno de los Operadores. </w:t>
      </w:r>
    </w:p>
    <w:p w14:paraId="31053BAB" w14:textId="77777777" w:rsidR="007C7EF4" w:rsidRPr="00CD459A" w:rsidRDefault="007C7EF4" w:rsidP="007C7EF4">
      <w:pPr>
        <w:autoSpaceDE w:val="0"/>
        <w:autoSpaceDN w:val="0"/>
        <w:adjustRightInd w:val="0"/>
        <w:jc w:val="both"/>
        <w:rPr>
          <w:rFonts w:ascii="Verdana" w:hAnsi="Verdana" w:cs="Arial"/>
          <w:lang w:val="es-ES_tradnl"/>
        </w:rPr>
      </w:pPr>
    </w:p>
    <w:p w14:paraId="30CEDF1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2EF4F2C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saldo de la subcuenta 131401 será revelado discriminando el tercero que como operador tiene la obligación con el Sistema General de Regalías y la edad de la cartera para garantizar que correspondan a derechos reales que van a representar beneficios para el Sistema General de Regalías.</w:t>
      </w:r>
    </w:p>
    <w:p w14:paraId="3812749C" w14:textId="77777777" w:rsidR="00355F8E" w:rsidRDefault="00355F8E" w:rsidP="007C7EF4">
      <w:pPr>
        <w:pStyle w:val="Textoindependiente"/>
        <w:ind w:right="47"/>
        <w:rPr>
          <w:rFonts w:ascii="Verdana" w:hAnsi="Verdana" w:cs="Arial"/>
          <w:sz w:val="22"/>
          <w:szCs w:val="22"/>
          <w:lang w:val="es-CO"/>
        </w:rPr>
      </w:pPr>
    </w:p>
    <w:p w14:paraId="790CD03B" w14:textId="2D83E5C5"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DINÁMICA </w:t>
      </w:r>
    </w:p>
    <w:p w14:paraId="7B9D5919" w14:textId="77777777" w:rsidR="007C7EF4" w:rsidRPr="00CD459A" w:rsidRDefault="007C7EF4" w:rsidP="007C7EF4">
      <w:pPr>
        <w:pStyle w:val="Textoindependiente"/>
        <w:ind w:right="47"/>
        <w:rPr>
          <w:rFonts w:ascii="Verdana" w:hAnsi="Verdana" w:cs="Arial"/>
          <w:sz w:val="22"/>
          <w:szCs w:val="22"/>
          <w:lang w:val="es-CO"/>
        </w:rPr>
      </w:pPr>
    </w:p>
    <w:p w14:paraId="5E70030D"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DEBITA CON: </w:t>
      </w:r>
    </w:p>
    <w:p w14:paraId="0A31E404" w14:textId="77777777" w:rsidR="007C7EF4" w:rsidRPr="00CD459A" w:rsidRDefault="007C7EF4" w:rsidP="007C7EF4">
      <w:pPr>
        <w:pStyle w:val="Textoindependiente"/>
        <w:ind w:right="47"/>
        <w:rPr>
          <w:rFonts w:ascii="Verdana" w:hAnsi="Verdana" w:cs="Arial"/>
          <w:sz w:val="22"/>
          <w:szCs w:val="22"/>
          <w:lang w:val="es-CO"/>
        </w:rPr>
      </w:pPr>
    </w:p>
    <w:p w14:paraId="37051C36" w14:textId="77777777" w:rsidR="007C7EF4" w:rsidRPr="00CD459A"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CO"/>
        </w:rPr>
        <w:t xml:space="preserve">El valor de las regalías liquidadas en dinero certificadas por el Contador Público de la ANH. </w:t>
      </w:r>
      <w:r w:rsidRPr="00CD459A">
        <w:rPr>
          <w:rFonts w:ascii="Verdana" w:hAnsi="Verdana" w:cs="Arial"/>
          <w:sz w:val="22"/>
          <w:szCs w:val="22"/>
          <w:lang w:val="es-ES_tradnl"/>
        </w:rPr>
        <w:t xml:space="preserve">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 la subcuenta 411101-Hidrocarburos.</w:t>
      </w:r>
    </w:p>
    <w:p w14:paraId="5A180447" w14:textId="77777777" w:rsidR="007C7EF4" w:rsidRPr="00CD459A" w:rsidRDefault="007C7EF4" w:rsidP="007C7EF4">
      <w:pPr>
        <w:pStyle w:val="Textoindependiente"/>
        <w:widowControl/>
        <w:ind w:left="360" w:right="-568"/>
        <w:rPr>
          <w:rFonts w:ascii="Verdana" w:hAnsi="Verdana" w:cs="Arial"/>
          <w:sz w:val="22"/>
          <w:szCs w:val="22"/>
          <w:lang w:val="es-CO"/>
        </w:rPr>
      </w:pPr>
    </w:p>
    <w:p w14:paraId="66690EA1" w14:textId="77777777" w:rsidR="007C7EF4" w:rsidRPr="00CD459A" w:rsidRDefault="007C7EF4" w:rsidP="007C7EF4">
      <w:pPr>
        <w:pStyle w:val="Textoindependiente"/>
        <w:ind w:right="47"/>
        <w:rPr>
          <w:rFonts w:ascii="Verdana" w:hAnsi="Verdana" w:cs="Arial"/>
          <w:sz w:val="22"/>
          <w:szCs w:val="22"/>
          <w:lang w:val="es-CO"/>
        </w:rPr>
      </w:pPr>
    </w:p>
    <w:p w14:paraId="67631379"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SE ACREDITA CON:</w:t>
      </w:r>
    </w:p>
    <w:p w14:paraId="5EEEF2C1" w14:textId="77777777" w:rsidR="007C7EF4" w:rsidRPr="00CD459A" w:rsidRDefault="007C7EF4" w:rsidP="007C7EF4">
      <w:pPr>
        <w:pStyle w:val="Textoindependiente"/>
        <w:ind w:right="47"/>
        <w:rPr>
          <w:rFonts w:ascii="Verdana" w:hAnsi="Verdana" w:cs="Arial"/>
          <w:sz w:val="22"/>
          <w:szCs w:val="22"/>
        </w:rPr>
      </w:pPr>
    </w:p>
    <w:p w14:paraId="0FE3C23D" w14:textId="77777777" w:rsidR="007C7EF4" w:rsidRPr="00CD459A" w:rsidRDefault="007C7EF4" w:rsidP="00AB3D96">
      <w:pPr>
        <w:pStyle w:val="Textoindependiente"/>
        <w:widowControl/>
        <w:numPr>
          <w:ilvl w:val="0"/>
          <w:numId w:val="30"/>
        </w:numPr>
        <w:ind w:right="247"/>
        <w:rPr>
          <w:rFonts w:ascii="Verdana" w:hAnsi="Verdana" w:cs="Arial"/>
          <w:sz w:val="22"/>
          <w:szCs w:val="22"/>
          <w:lang w:val="es-CO"/>
        </w:rPr>
      </w:pPr>
      <w:r w:rsidRPr="00CD459A">
        <w:rPr>
          <w:rFonts w:ascii="Verdana" w:hAnsi="Verdana" w:cs="Arial"/>
          <w:sz w:val="22"/>
          <w:szCs w:val="22"/>
          <w:lang w:val="es-CO"/>
        </w:rPr>
        <w:t>El valor de los recursos recaudados por el ANH conforme a certificación expedida por esa entidad, con crédito a la subcuenta 138444- Regalías y rendimientos pendientes de transferir al Sistema General de Regalías.</w:t>
      </w:r>
    </w:p>
    <w:p w14:paraId="2F9F55C2" w14:textId="77777777" w:rsidR="007C7EF4" w:rsidRPr="00CD459A" w:rsidRDefault="007C7EF4" w:rsidP="00AB3D96">
      <w:pPr>
        <w:pStyle w:val="Prrafodelista"/>
        <w:numPr>
          <w:ilvl w:val="0"/>
          <w:numId w:val="30"/>
        </w:numPr>
        <w:spacing w:line="240" w:lineRule="auto"/>
        <w:jc w:val="both"/>
        <w:rPr>
          <w:rFonts w:ascii="Verdana" w:hAnsi="Verdana" w:cs="Arial"/>
        </w:rPr>
      </w:pPr>
      <w:r w:rsidRPr="00CD459A">
        <w:rPr>
          <w:rFonts w:ascii="Verdana" w:hAnsi="Verdana" w:cs="Arial"/>
        </w:rPr>
        <w:t>El valor del recaudo en especie, certificado por el contador de la ANH, con crédito a la subcuenta 153043 – Inventario en poder de terceros.</w:t>
      </w:r>
    </w:p>
    <w:p w14:paraId="0EA9C4C7" w14:textId="77777777" w:rsidR="007C7EF4" w:rsidRPr="00CD459A" w:rsidRDefault="007C7EF4" w:rsidP="007C7EF4">
      <w:pPr>
        <w:jc w:val="both"/>
        <w:rPr>
          <w:rFonts w:ascii="Verdana" w:hAnsi="Verdana" w:cs="Arial"/>
        </w:rPr>
      </w:pPr>
    </w:p>
    <w:tbl>
      <w:tblPr>
        <w:tblW w:w="8929" w:type="dxa"/>
        <w:tblInd w:w="129" w:type="dxa"/>
        <w:tblLayout w:type="fixed"/>
        <w:tblCellMar>
          <w:left w:w="127" w:type="dxa"/>
          <w:right w:w="127" w:type="dxa"/>
        </w:tblCellMar>
        <w:tblLook w:val="0000" w:firstRow="0" w:lastRow="0" w:firstColumn="0" w:lastColumn="0" w:noHBand="0" w:noVBand="0"/>
      </w:tblPr>
      <w:tblGrid>
        <w:gridCol w:w="2129"/>
        <w:gridCol w:w="3263"/>
        <w:gridCol w:w="3537"/>
      </w:tblGrid>
      <w:tr w:rsidR="00CD459A" w:rsidRPr="00CD459A" w14:paraId="61909CC2" w14:textId="77777777" w:rsidTr="003B74CE">
        <w:trPr>
          <w:cantSplit/>
          <w:trHeight w:val="475"/>
        </w:trPr>
        <w:tc>
          <w:tcPr>
            <w:tcW w:w="2129" w:type="dxa"/>
            <w:tcBorders>
              <w:top w:val="single" w:sz="6" w:space="0" w:color="auto"/>
              <w:left w:val="single" w:sz="6" w:space="0" w:color="auto"/>
              <w:right w:val="single" w:sz="6" w:space="0" w:color="auto"/>
            </w:tcBorders>
          </w:tcPr>
          <w:p w14:paraId="21EEBCD8"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3263" w:type="dxa"/>
            <w:tcBorders>
              <w:top w:val="single" w:sz="6" w:space="0" w:color="auto"/>
              <w:left w:val="single" w:sz="6" w:space="0" w:color="auto"/>
              <w:right w:val="single" w:sz="6" w:space="0" w:color="auto"/>
            </w:tcBorders>
          </w:tcPr>
          <w:p w14:paraId="5ECF66EF"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3537" w:type="dxa"/>
            <w:tcBorders>
              <w:top w:val="single" w:sz="6" w:space="0" w:color="auto"/>
              <w:left w:val="single" w:sz="6" w:space="0" w:color="auto"/>
              <w:right w:val="single" w:sz="6" w:space="0" w:color="auto"/>
            </w:tcBorders>
          </w:tcPr>
          <w:p w14:paraId="55ACCF11"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42DBE790" w14:textId="77777777" w:rsidTr="003B74CE">
        <w:trPr>
          <w:cantSplit/>
          <w:trHeight w:val="461"/>
        </w:trPr>
        <w:tc>
          <w:tcPr>
            <w:tcW w:w="2129" w:type="dxa"/>
            <w:tcBorders>
              <w:top w:val="single" w:sz="6" w:space="0" w:color="auto"/>
              <w:left w:val="single" w:sz="6" w:space="0" w:color="auto"/>
              <w:bottom w:val="single" w:sz="6" w:space="0" w:color="auto"/>
              <w:right w:val="single" w:sz="6" w:space="0" w:color="auto"/>
            </w:tcBorders>
          </w:tcPr>
          <w:p w14:paraId="03DAB9AA"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3263" w:type="dxa"/>
            <w:tcBorders>
              <w:top w:val="single" w:sz="6" w:space="0" w:color="auto"/>
              <w:left w:val="single" w:sz="6" w:space="0" w:color="auto"/>
              <w:bottom w:val="single" w:sz="6" w:space="0" w:color="auto"/>
              <w:right w:val="single" w:sz="6" w:space="0" w:color="auto"/>
            </w:tcBorders>
          </w:tcPr>
          <w:p w14:paraId="7911538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3537" w:type="dxa"/>
            <w:tcBorders>
              <w:top w:val="single" w:sz="6" w:space="0" w:color="auto"/>
              <w:left w:val="single" w:sz="6" w:space="0" w:color="auto"/>
              <w:bottom w:val="single" w:sz="6" w:space="0" w:color="auto"/>
              <w:right w:val="single" w:sz="6" w:space="0" w:color="auto"/>
            </w:tcBorders>
            <w:shd w:val="pct20" w:color="auto" w:fill="auto"/>
          </w:tcPr>
          <w:p w14:paraId="28BF02D1"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131402</w:t>
            </w:r>
          </w:p>
        </w:tc>
      </w:tr>
      <w:tr w:rsidR="00CD459A" w:rsidRPr="00CD459A" w14:paraId="48E0F092" w14:textId="77777777" w:rsidTr="003B74CE">
        <w:trPr>
          <w:cantSplit/>
          <w:trHeight w:val="475"/>
        </w:trPr>
        <w:tc>
          <w:tcPr>
            <w:tcW w:w="2129" w:type="dxa"/>
            <w:tcBorders>
              <w:left w:val="single" w:sz="6" w:space="0" w:color="auto"/>
              <w:bottom w:val="single" w:sz="6" w:space="0" w:color="auto"/>
              <w:right w:val="single" w:sz="6" w:space="0" w:color="auto"/>
            </w:tcBorders>
          </w:tcPr>
          <w:p w14:paraId="094F5EC6"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3263" w:type="dxa"/>
            <w:tcBorders>
              <w:left w:val="single" w:sz="6" w:space="0" w:color="auto"/>
              <w:bottom w:val="single" w:sz="6" w:space="0" w:color="auto"/>
              <w:right w:val="single" w:sz="6" w:space="0" w:color="auto"/>
            </w:tcBorders>
          </w:tcPr>
          <w:p w14:paraId="44F3952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3537" w:type="dxa"/>
            <w:tcBorders>
              <w:left w:val="single" w:sz="6" w:space="0" w:color="auto"/>
              <w:bottom w:val="single" w:sz="6" w:space="0" w:color="auto"/>
              <w:right w:val="single" w:sz="6" w:space="0" w:color="auto"/>
            </w:tcBorders>
            <w:shd w:val="pct20" w:color="auto" w:fill="auto"/>
          </w:tcPr>
          <w:p w14:paraId="4FAD5D4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 xml:space="preserve">MINERALES </w:t>
            </w:r>
          </w:p>
        </w:tc>
      </w:tr>
    </w:tbl>
    <w:p w14:paraId="7879E136" w14:textId="77777777" w:rsidR="007C7EF4" w:rsidRPr="00CD459A" w:rsidRDefault="007C7EF4" w:rsidP="007C7EF4">
      <w:pPr>
        <w:suppressLineNumbers/>
        <w:tabs>
          <w:tab w:val="left" w:pos="-720"/>
          <w:tab w:val="left" w:pos="1134"/>
        </w:tabs>
        <w:ind w:right="51"/>
        <w:jc w:val="both"/>
        <w:rPr>
          <w:rFonts w:ascii="Verdana" w:hAnsi="Verdana" w:cs="Arial"/>
        </w:rPr>
      </w:pPr>
    </w:p>
    <w:p w14:paraId="76C1BC17"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DESCRIPCIÓN </w:t>
      </w:r>
    </w:p>
    <w:p w14:paraId="0159B8B8" w14:textId="77777777" w:rsidR="007C7EF4" w:rsidRPr="00CD459A" w:rsidRDefault="007C7EF4" w:rsidP="007C7EF4">
      <w:pPr>
        <w:pStyle w:val="Normal11"/>
        <w:jc w:val="both"/>
        <w:rPr>
          <w:rFonts w:ascii="Verdana" w:hAnsi="Verdana" w:cs="Arial"/>
          <w:sz w:val="22"/>
          <w:szCs w:val="22"/>
          <w:lang w:val="es-ES_tradnl"/>
        </w:rPr>
      </w:pPr>
    </w:p>
    <w:p w14:paraId="6A100FC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Representa el valor de los derechos que posee el Sistema General de Regalías por regalías que fueron liquidadas y no han sido recaudadas por la ANM, porque los operadores no han realizado el pago para extinguir la obligación. </w:t>
      </w:r>
    </w:p>
    <w:p w14:paraId="053A5A8E" w14:textId="77777777" w:rsidR="007C7EF4" w:rsidRPr="00CD459A" w:rsidRDefault="007C7EF4" w:rsidP="007C7EF4">
      <w:pPr>
        <w:pStyle w:val="Textoindependiente"/>
        <w:ind w:right="47"/>
        <w:rPr>
          <w:rFonts w:ascii="Verdana" w:hAnsi="Verdana" w:cs="Arial"/>
          <w:sz w:val="22"/>
          <w:szCs w:val="22"/>
          <w:lang w:val="es-ES_tradnl"/>
        </w:rPr>
      </w:pPr>
    </w:p>
    <w:p w14:paraId="2AB0B1EF"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39222155"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derechos por concepto de regalías liquidadas no recaudadas se miden por el valor que la ANM en su facultad de liquidar y fiscalizar.</w:t>
      </w:r>
    </w:p>
    <w:p w14:paraId="6D657A17" w14:textId="77777777" w:rsidR="007C7EF4" w:rsidRPr="00CD459A" w:rsidRDefault="007C7EF4" w:rsidP="007C7EF4">
      <w:pPr>
        <w:autoSpaceDE w:val="0"/>
        <w:autoSpaceDN w:val="0"/>
        <w:adjustRightInd w:val="0"/>
        <w:jc w:val="both"/>
        <w:rPr>
          <w:rFonts w:ascii="Verdana" w:hAnsi="Verdana" w:cs="Arial"/>
          <w:lang w:val="es-ES_tradnl"/>
        </w:rPr>
      </w:pPr>
    </w:p>
    <w:p w14:paraId="6909B7BE" w14:textId="77777777" w:rsidR="007C7EF4"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4D45B8D9" w14:textId="77777777" w:rsidR="007C7EF4"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Certificación emitida por el Contador de la Agencia Nacional de Minería </w:t>
      </w:r>
    </w:p>
    <w:p w14:paraId="1A7C4C32" w14:textId="77777777" w:rsidR="00355F8E" w:rsidRPr="00CD459A" w:rsidRDefault="00355F8E" w:rsidP="007C7EF4">
      <w:pPr>
        <w:autoSpaceDE w:val="0"/>
        <w:autoSpaceDN w:val="0"/>
        <w:adjustRightInd w:val="0"/>
        <w:jc w:val="both"/>
        <w:rPr>
          <w:rFonts w:ascii="Verdana" w:hAnsi="Verdana" w:cs="Arial"/>
          <w:lang w:val="es-ES_tradnl"/>
        </w:rPr>
      </w:pPr>
    </w:p>
    <w:p w14:paraId="2361ADD6" w14:textId="7556AA5A" w:rsidR="00355F8E"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53A3406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por tercero frente, al detalle remitido por la Agencia Nacional de Minería, de las Regalias liquidadas y no recaudadas por cada uno de los Operadores.</w:t>
      </w:r>
    </w:p>
    <w:p w14:paraId="38EA0FCD" w14:textId="77777777" w:rsidR="007C7EF4" w:rsidRPr="00CD459A" w:rsidRDefault="007C7EF4" w:rsidP="007C7EF4">
      <w:pPr>
        <w:autoSpaceDE w:val="0"/>
        <w:autoSpaceDN w:val="0"/>
        <w:adjustRightInd w:val="0"/>
        <w:jc w:val="both"/>
        <w:rPr>
          <w:rFonts w:ascii="Verdana" w:hAnsi="Verdana" w:cs="Arial"/>
          <w:lang w:val="es-ES_tradnl"/>
        </w:rPr>
      </w:pPr>
    </w:p>
    <w:p w14:paraId="066CEC4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052BA135"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El saldo de la subcuenta 131402 será revelado discriminando el tercero que como operador tiene la obligación con el Sistema General de Regalías y la edad de la cartera para garantizar que correspondan a derechos reales que van a representar beneficios para el Sistema General de Regalías. </w:t>
      </w:r>
    </w:p>
    <w:p w14:paraId="75D43270" w14:textId="77777777" w:rsidR="007C7EF4" w:rsidRPr="00CD459A" w:rsidRDefault="007C7EF4" w:rsidP="007C7EF4">
      <w:pPr>
        <w:pStyle w:val="Textoindependiente"/>
        <w:ind w:right="47"/>
        <w:rPr>
          <w:rFonts w:ascii="Verdana" w:hAnsi="Verdana" w:cs="Arial"/>
          <w:sz w:val="22"/>
          <w:szCs w:val="22"/>
          <w:lang w:val="es-CO"/>
        </w:rPr>
      </w:pPr>
    </w:p>
    <w:p w14:paraId="689FD7C3"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DINÁMICA </w:t>
      </w:r>
    </w:p>
    <w:p w14:paraId="57255564" w14:textId="77777777" w:rsidR="007C7EF4" w:rsidRPr="00CD459A" w:rsidRDefault="007C7EF4" w:rsidP="007C7EF4">
      <w:pPr>
        <w:pStyle w:val="Textoindependiente"/>
        <w:ind w:right="47"/>
        <w:rPr>
          <w:rFonts w:ascii="Verdana" w:hAnsi="Verdana" w:cs="Arial"/>
          <w:sz w:val="22"/>
          <w:szCs w:val="22"/>
          <w:lang w:val="es-CO"/>
        </w:rPr>
      </w:pPr>
    </w:p>
    <w:p w14:paraId="4E49B957"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DEBITA CON: </w:t>
      </w:r>
    </w:p>
    <w:p w14:paraId="7D581A8A" w14:textId="77777777" w:rsidR="007C7EF4" w:rsidRPr="00CD459A" w:rsidRDefault="007C7EF4" w:rsidP="007C7EF4">
      <w:pPr>
        <w:pStyle w:val="Textoindependiente"/>
        <w:ind w:right="47"/>
        <w:rPr>
          <w:rFonts w:ascii="Verdana" w:hAnsi="Verdana" w:cs="Arial"/>
          <w:sz w:val="22"/>
          <w:szCs w:val="22"/>
          <w:lang w:val="es-CO"/>
        </w:rPr>
      </w:pPr>
    </w:p>
    <w:p w14:paraId="37FF1B77" w14:textId="77777777" w:rsidR="007C7EF4" w:rsidRDefault="007C7EF4" w:rsidP="00AB3D96">
      <w:pPr>
        <w:pStyle w:val="Prrafodelista"/>
        <w:numPr>
          <w:ilvl w:val="0"/>
          <w:numId w:val="31"/>
        </w:numPr>
        <w:autoSpaceDE w:val="0"/>
        <w:autoSpaceDN w:val="0"/>
        <w:adjustRightInd w:val="0"/>
        <w:spacing w:line="240" w:lineRule="auto"/>
        <w:jc w:val="both"/>
        <w:rPr>
          <w:rFonts w:ascii="Verdana" w:hAnsi="Verdana" w:cs="Arial"/>
          <w:lang w:val="es-ES_tradnl"/>
        </w:rPr>
      </w:pPr>
      <w:r w:rsidRPr="00CD459A">
        <w:rPr>
          <w:rFonts w:ascii="Verdana" w:hAnsi="Verdana" w:cs="Arial"/>
        </w:rPr>
        <w:t xml:space="preserve">El valor de las regalías liquidadas y certificadas por el contador de la ANM pendientes de recaudar. </w:t>
      </w:r>
      <w:r w:rsidRPr="00CD459A">
        <w:rPr>
          <w:rFonts w:ascii="Verdana" w:hAnsi="Verdana" w:cs="Arial"/>
          <w:lang w:val="es-ES_tradnl"/>
        </w:rPr>
        <w:t xml:space="preserve">La contrapartida corresponde a la subcuenta 411102 – Minerales. </w:t>
      </w:r>
    </w:p>
    <w:p w14:paraId="01DBF66C" w14:textId="77777777" w:rsidR="00355F8E" w:rsidRPr="00CD459A" w:rsidRDefault="00355F8E" w:rsidP="00355F8E">
      <w:pPr>
        <w:pStyle w:val="Prrafodelista"/>
        <w:autoSpaceDE w:val="0"/>
        <w:autoSpaceDN w:val="0"/>
        <w:adjustRightInd w:val="0"/>
        <w:spacing w:line="240" w:lineRule="auto"/>
        <w:ind w:left="360"/>
        <w:jc w:val="both"/>
        <w:rPr>
          <w:rFonts w:ascii="Verdana" w:hAnsi="Verdana" w:cs="Arial"/>
          <w:lang w:val="es-ES_tradnl"/>
        </w:rPr>
      </w:pPr>
    </w:p>
    <w:p w14:paraId="50CD7D78"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SE ACREDITA CON:</w:t>
      </w:r>
    </w:p>
    <w:p w14:paraId="76534B3E" w14:textId="77777777" w:rsidR="007C7EF4" w:rsidRPr="00CD459A" w:rsidRDefault="007C7EF4" w:rsidP="007C7EF4">
      <w:pPr>
        <w:pStyle w:val="Textoindependiente"/>
        <w:ind w:right="47"/>
        <w:rPr>
          <w:rFonts w:ascii="Verdana" w:hAnsi="Verdana" w:cs="Arial"/>
          <w:sz w:val="22"/>
          <w:szCs w:val="22"/>
        </w:rPr>
      </w:pPr>
    </w:p>
    <w:p w14:paraId="747A83E1" w14:textId="77777777" w:rsidR="007C7EF4" w:rsidRPr="00CD459A" w:rsidRDefault="007C7EF4" w:rsidP="00AB3D96">
      <w:pPr>
        <w:pStyle w:val="Textoindependiente"/>
        <w:widowControl/>
        <w:numPr>
          <w:ilvl w:val="0"/>
          <w:numId w:val="31"/>
        </w:numPr>
        <w:ind w:right="-568"/>
        <w:rPr>
          <w:rFonts w:ascii="Verdana" w:hAnsi="Verdana" w:cs="Arial"/>
          <w:sz w:val="22"/>
          <w:szCs w:val="22"/>
          <w:lang w:val="es-CO"/>
        </w:rPr>
      </w:pPr>
      <w:r w:rsidRPr="00CD459A">
        <w:rPr>
          <w:rFonts w:ascii="Verdana" w:hAnsi="Verdana" w:cs="Arial"/>
          <w:sz w:val="22"/>
          <w:szCs w:val="22"/>
          <w:lang w:val="es-CO"/>
        </w:rPr>
        <w:t>El valor de los recursos recaudados por el ANM conforme a certificación expedida por esa entidad, con crédito a la subcuenta 138444- Regalías y rendimientos pendientes de transferir al Sistema General de Regalías.</w:t>
      </w:r>
    </w:p>
    <w:p w14:paraId="042339DB" w14:textId="77777777" w:rsidR="00355F8E" w:rsidRPr="00CD459A" w:rsidRDefault="00355F8E" w:rsidP="007C7EF4">
      <w:pPr>
        <w:suppressLineNumbers/>
        <w:tabs>
          <w:tab w:val="left" w:pos="-720"/>
        </w:tabs>
        <w:ind w:right="51"/>
        <w:jc w:val="both"/>
        <w:rPr>
          <w:rFonts w:ascii="Verdana" w:hAnsi="Verdana" w:cs="Arial"/>
        </w:rPr>
      </w:pPr>
    </w:p>
    <w:tbl>
      <w:tblPr>
        <w:tblW w:w="8929" w:type="dxa"/>
        <w:tblInd w:w="129" w:type="dxa"/>
        <w:tblLayout w:type="fixed"/>
        <w:tblCellMar>
          <w:left w:w="127" w:type="dxa"/>
          <w:right w:w="127" w:type="dxa"/>
        </w:tblCellMar>
        <w:tblLook w:val="0000" w:firstRow="0" w:lastRow="0" w:firstColumn="0" w:lastColumn="0" w:noHBand="0" w:noVBand="0"/>
      </w:tblPr>
      <w:tblGrid>
        <w:gridCol w:w="1564"/>
        <w:gridCol w:w="2977"/>
        <w:gridCol w:w="4388"/>
      </w:tblGrid>
      <w:tr w:rsidR="00CD459A" w:rsidRPr="00CD459A" w14:paraId="3008352D" w14:textId="77777777" w:rsidTr="003B74CE">
        <w:trPr>
          <w:cantSplit/>
          <w:trHeight w:val="475"/>
        </w:trPr>
        <w:tc>
          <w:tcPr>
            <w:tcW w:w="1564" w:type="dxa"/>
            <w:tcBorders>
              <w:top w:val="single" w:sz="6" w:space="0" w:color="auto"/>
              <w:left w:val="single" w:sz="6" w:space="0" w:color="auto"/>
              <w:right w:val="single" w:sz="6" w:space="0" w:color="auto"/>
            </w:tcBorders>
          </w:tcPr>
          <w:p w14:paraId="0182162F"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2977" w:type="dxa"/>
            <w:tcBorders>
              <w:top w:val="single" w:sz="6" w:space="0" w:color="auto"/>
              <w:left w:val="single" w:sz="6" w:space="0" w:color="auto"/>
              <w:right w:val="single" w:sz="6" w:space="0" w:color="auto"/>
            </w:tcBorders>
          </w:tcPr>
          <w:p w14:paraId="7699B0DC"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4388" w:type="dxa"/>
            <w:tcBorders>
              <w:top w:val="single" w:sz="6" w:space="0" w:color="auto"/>
              <w:left w:val="single" w:sz="6" w:space="0" w:color="auto"/>
              <w:right w:val="single" w:sz="6" w:space="0" w:color="auto"/>
            </w:tcBorders>
          </w:tcPr>
          <w:p w14:paraId="0122D313"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16A066E6" w14:textId="77777777" w:rsidTr="003B74CE">
        <w:trPr>
          <w:cantSplit/>
          <w:trHeight w:val="461"/>
        </w:trPr>
        <w:tc>
          <w:tcPr>
            <w:tcW w:w="1564" w:type="dxa"/>
            <w:tcBorders>
              <w:top w:val="single" w:sz="6" w:space="0" w:color="auto"/>
              <w:left w:val="single" w:sz="6" w:space="0" w:color="auto"/>
              <w:bottom w:val="single" w:sz="6" w:space="0" w:color="auto"/>
              <w:right w:val="single" w:sz="6" w:space="0" w:color="auto"/>
            </w:tcBorders>
          </w:tcPr>
          <w:p w14:paraId="45ECDECF"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2977" w:type="dxa"/>
            <w:tcBorders>
              <w:top w:val="single" w:sz="6" w:space="0" w:color="auto"/>
              <w:left w:val="single" w:sz="6" w:space="0" w:color="auto"/>
              <w:bottom w:val="single" w:sz="6" w:space="0" w:color="auto"/>
              <w:right w:val="single" w:sz="6" w:space="0" w:color="auto"/>
            </w:tcBorders>
          </w:tcPr>
          <w:p w14:paraId="2B2C79EA"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4388" w:type="dxa"/>
            <w:tcBorders>
              <w:top w:val="single" w:sz="6" w:space="0" w:color="auto"/>
              <w:left w:val="single" w:sz="6" w:space="0" w:color="auto"/>
              <w:bottom w:val="single" w:sz="6" w:space="0" w:color="auto"/>
              <w:right w:val="single" w:sz="6" w:space="0" w:color="auto"/>
            </w:tcBorders>
            <w:shd w:val="pct20" w:color="auto" w:fill="auto"/>
          </w:tcPr>
          <w:p w14:paraId="644DC58C"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138444</w:t>
            </w:r>
          </w:p>
        </w:tc>
      </w:tr>
      <w:tr w:rsidR="00CD459A" w:rsidRPr="00CD459A" w14:paraId="641FD0BD" w14:textId="77777777" w:rsidTr="003B74CE">
        <w:trPr>
          <w:cantSplit/>
          <w:trHeight w:val="475"/>
        </w:trPr>
        <w:tc>
          <w:tcPr>
            <w:tcW w:w="1564" w:type="dxa"/>
            <w:tcBorders>
              <w:left w:val="single" w:sz="6" w:space="0" w:color="auto"/>
              <w:bottom w:val="single" w:sz="6" w:space="0" w:color="auto"/>
              <w:right w:val="single" w:sz="6" w:space="0" w:color="auto"/>
            </w:tcBorders>
          </w:tcPr>
          <w:p w14:paraId="229853A2"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2977" w:type="dxa"/>
            <w:tcBorders>
              <w:left w:val="single" w:sz="6" w:space="0" w:color="auto"/>
              <w:bottom w:val="single" w:sz="6" w:space="0" w:color="auto"/>
              <w:right w:val="single" w:sz="6" w:space="0" w:color="auto"/>
            </w:tcBorders>
          </w:tcPr>
          <w:p w14:paraId="48CD2BA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4388" w:type="dxa"/>
            <w:tcBorders>
              <w:left w:val="single" w:sz="6" w:space="0" w:color="auto"/>
              <w:bottom w:val="single" w:sz="6" w:space="0" w:color="auto"/>
              <w:right w:val="single" w:sz="6" w:space="0" w:color="auto"/>
            </w:tcBorders>
            <w:shd w:val="pct20" w:color="auto" w:fill="auto"/>
          </w:tcPr>
          <w:p w14:paraId="02111358"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REGALIAS Y RENDIMIENTOS RECAUDADOS PENDIENTES DE TRANSFERIR AL SGR</w:t>
            </w:r>
          </w:p>
        </w:tc>
      </w:tr>
    </w:tbl>
    <w:p w14:paraId="3397BE3A" w14:textId="77777777" w:rsidR="007C7EF4" w:rsidRPr="00CD459A" w:rsidRDefault="007C7EF4" w:rsidP="007C7EF4">
      <w:pPr>
        <w:suppressLineNumbers/>
        <w:tabs>
          <w:tab w:val="left" w:pos="-720"/>
        </w:tabs>
        <w:ind w:right="51"/>
        <w:jc w:val="both"/>
        <w:rPr>
          <w:rFonts w:ascii="Verdana" w:hAnsi="Verdana" w:cs="Arial"/>
        </w:rPr>
      </w:pPr>
    </w:p>
    <w:p w14:paraId="5F698033"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 xml:space="preserve">DESCRIPCIÓN </w:t>
      </w:r>
    </w:p>
    <w:p w14:paraId="4B341B32"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Representa el valor de los derechos de cobro por concepto de regalías y rendimientos financieros recaudados por la Agencia Nacional de Minería y la Agencia Nacional de Hidrocarburos que no han sido transferidos al Ministerio de Hacienda.</w:t>
      </w:r>
    </w:p>
    <w:p w14:paraId="29043B16" w14:textId="77777777" w:rsidR="007C7EF4" w:rsidRPr="00CD459A" w:rsidRDefault="007C7EF4" w:rsidP="007C7EF4">
      <w:pPr>
        <w:suppressLineNumbers/>
        <w:tabs>
          <w:tab w:val="left" w:pos="-720"/>
        </w:tabs>
        <w:ind w:right="51"/>
        <w:jc w:val="both"/>
        <w:rPr>
          <w:rFonts w:ascii="Verdana" w:hAnsi="Verdana" w:cs="Arial"/>
        </w:rPr>
      </w:pPr>
    </w:p>
    <w:p w14:paraId="225B806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2B58C45C" w14:textId="77777777" w:rsidR="007C7EF4" w:rsidRPr="00CD459A" w:rsidRDefault="007C7EF4" w:rsidP="007C7EF4">
      <w:pPr>
        <w:autoSpaceDE w:val="0"/>
        <w:autoSpaceDN w:val="0"/>
        <w:adjustRightInd w:val="0"/>
        <w:jc w:val="both"/>
        <w:rPr>
          <w:rFonts w:ascii="Verdana" w:hAnsi="Verdana" w:cs="Arial"/>
          <w:lang w:val="es-ES_tradnl"/>
        </w:rPr>
      </w:pPr>
    </w:p>
    <w:p w14:paraId="0771BCF7" w14:textId="77777777" w:rsidR="007C7EF4"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derechos por concepto de regalías y rendimientos financieros recaudados no transferidos se miden por el valor que la ANM y la ANH en su facultad de liquidar, fiscalizar y transferir informen al Ministerio de Hacienda.</w:t>
      </w:r>
    </w:p>
    <w:p w14:paraId="6E610665" w14:textId="77777777" w:rsidR="00355F8E" w:rsidRPr="00CD459A" w:rsidRDefault="00355F8E" w:rsidP="007C7EF4">
      <w:pPr>
        <w:autoSpaceDE w:val="0"/>
        <w:autoSpaceDN w:val="0"/>
        <w:adjustRightInd w:val="0"/>
        <w:jc w:val="both"/>
        <w:rPr>
          <w:rFonts w:ascii="Verdana" w:hAnsi="Verdana" w:cs="Arial"/>
          <w:lang w:val="es-ES_tradnl"/>
        </w:rPr>
      </w:pPr>
    </w:p>
    <w:p w14:paraId="316B046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7629D0B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Certificación emitida por el Contador de la Agencia Nacional de Minería </w:t>
      </w:r>
    </w:p>
    <w:p w14:paraId="3D39B6F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Certificación emitida por el Contador de la Agencia Nacional de Hidrocarburos </w:t>
      </w:r>
    </w:p>
    <w:p w14:paraId="6A2C95D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Extractos Bancarios </w:t>
      </w:r>
    </w:p>
    <w:p w14:paraId="4B7C5156" w14:textId="77777777" w:rsidR="007C7EF4" w:rsidRPr="00CD459A" w:rsidRDefault="007C7EF4" w:rsidP="007C7EF4">
      <w:pPr>
        <w:autoSpaceDE w:val="0"/>
        <w:autoSpaceDN w:val="0"/>
        <w:adjustRightInd w:val="0"/>
        <w:jc w:val="both"/>
        <w:rPr>
          <w:rFonts w:ascii="Verdana" w:hAnsi="Verdana" w:cs="Arial"/>
          <w:lang w:val="es-ES_tradnl"/>
        </w:rPr>
      </w:pPr>
    </w:p>
    <w:p w14:paraId="7B4924F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2A4EF7F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por tercero frente al valor liquidado no transferido certificado por la Agencia Nacional de Hidrocarburos y Minería, adicional el valor de los rendimientos financieros del Sistema General de Regalias pendientes por transferir a un periodo determinado.</w:t>
      </w:r>
    </w:p>
    <w:p w14:paraId="328AE7F7" w14:textId="77777777" w:rsidR="007C7EF4" w:rsidRPr="00CD459A" w:rsidRDefault="007C7EF4" w:rsidP="007C7EF4">
      <w:pPr>
        <w:autoSpaceDE w:val="0"/>
        <w:autoSpaceDN w:val="0"/>
        <w:adjustRightInd w:val="0"/>
        <w:jc w:val="both"/>
        <w:rPr>
          <w:rFonts w:ascii="Verdana" w:hAnsi="Verdana" w:cs="Arial"/>
          <w:lang w:val="es-ES_tradnl"/>
        </w:rPr>
      </w:pPr>
    </w:p>
    <w:p w14:paraId="15F1BB8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1CD0D88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El saldo de la subcuenta será revelado discriminando el valor que tiene pendiente de transferir cada una de las dos agencias. </w:t>
      </w:r>
    </w:p>
    <w:p w14:paraId="130FB340" w14:textId="77777777" w:rsidR="007C7EF4" w:rsidRPr="00CD459A" w:rsidRDefault="007C7EF4" w:rsidP="007C7EF4">
      <w:pPr>
        <w:suppressLineNumbers/>
        <w:tabs>
          <w:tab w:val="left" w:pos="-720"/>
        </w:tabs>
        <w:ind w:right="51"/>
        <w:jc w:val="both"/>
        <w:rPr>
          <w:rFonts w:ascii="Verdana" w:hAnsi="Verdana" w:cs="Arial"/>
        </w:rPr>
      </w:pPr>
    </w:p>
    <w:p w14:paraId="5C5C498F"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DINÁMICA</w:t>
      </w:r>
    </w:p>
    <w:p w14:paraId="5B7ECC56" w14:textId="77777777" w:rsidR="007C7EF4" w:rsidRPr="00CD459A" w:rsidRDefault="007C7EF4" w:rsidP="007C7EF4">
      <w:pPr>
        <w:suppressLineNumbers/>
        <w:tabs>
          <w:tab w:val="left" w:pos="-720"/>
        </w:tabs>
        <w:ind w:right="51"/>
        <w:jc w:val="both"/>
        <w:rPr>
          <w:rFonts w:ascii="Verdana" w:hAnsi="Verdana" w:cs="Arial"/>
        </w:rPr>
      </w:pPr>
    </w:p>
    <w:p w14:paraId="2A71F3D5"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SE DEBITA CON:</w:t>
      </w:r>
    </w:p>
    <w:p w14:paraId="5E592A54" w14:textId="77777777" w:rsidR="007C7EF4" w:rsidRPr="00CD459A" w:rsidRDefault="007C7EF4" w:rsidP="00AB3D96">
      <w:pPr>
        <w:pStyle w:val="Prrafodelista"/>
        <w:numPr>
          <w:ilvl w:val="0"/>
          <w:numId w:val="32"/>
        </w:numPr>
        <w:suppressLineNumbers/>
        <w:tabs>
          <w:tab w:val="left" w:pos="-720"/>
        </w:tabs>
        <w:spacing w:line="240" w:lineRule="auto"/>
        <w:ind w:right="51"/>
        <w:jc w:val="both"/>
        <w:rPr>
          <w:rFonts w:ascii="Verdana" w:hAnsi="Verdana" w:cs="Arial"/>
        </w:rPr>
      </w:pPr>
      <w:r w:rsidRPr="00CD459A">
        <w:rPr>
          <w:rFonts w:ascii="Verdana" w:hAnsi="Verdana" w:cs="Arial"/>
        </w:rPr>
        <w:t>El valor de las regalías recaudadas por concepto de Hidrocarburos por la ANH, con crédito a la subcuenta 131401 – Hidrocarburos.</w:t>
      </w:r>
    </w:p>
    <w:p w14:paraId="1DB9B98D" w14:textId="77777777" w:rsidR="007C7EF4" w:rsidRPr="00CD459A" w:rsidRDefault="007C7EF4" w:rsidP="00AB3D96">
      <w:pPr>
        <w:pStyle w:val="Prrafodelista"/>
        <w:numPr>
          <w:ilvl w:val="0"/>
          <w:numId w:val="32"/>
        </w:numPr>
        <w:suppressLineNumbers/>
        <w:tabs>
          <w:tab w:val="left" w:pos="-720"/>
        </w:tabs>
        <w:spacing w:line="240" w:lineRule="auto"/>
        <w:ind w:right="51"/>
        <w:jc w:val="both"/>
        <w:rPr>
          <w:rFonts w:ascii="Verdana" w:hAnsi="Verdana" w:cs="Arial"/>
        </w:rPr>
      </w:pPr>
      <w:r w:rsidRPr="00CD459A">
        <w:rPr>
          <w:rFonts w:ascii="Verdana" w:hAnsi="Verdana" w:cs="Arial"/>
        </w:rPr>
        <w:t>El valor de las regalías recaudadas por concepto de Minerales no trasferidos al Sistema General de Regalías, con crédito a la subcuenta 131402 – Minerales.</w:t>
      </w:r>
    </w:p>
    <w:p w14:paraId="79101250" w14:textId="77777777" w:rsidR="007C7EF4" w:rsidRDefault="007C7EF4" w:rsidP="00AB3D96">
      <w:pPr>
        <w:pStyle w:val="Prrafodelista"/>
        <w:numPr>
          <w:ilvl w:val="0"/>
          <w:numId w:val="32"/>
        </w:numPr>
        <w:suppressLineNumbers/>
        <w:tabs>
          <w:tab w:val="left" w:pos="-720"/>
        </w:tabs>
        <w:spacing w:line="240" w:lineRule="auto"/>
        <w:ind w:right="51"/>
        <w:jc w:val="both"/>
        <w:rPr>
          <w:rFonts w:ascii="Verdana" w:hAnsi="Verdana" w:cs="Arial"/>
        </w:rPr>
      </w:pPr>
      <w:r w:rsidRPr="00CD459A">
        <w:rPr>
          <w:rFonts w:ascii="Verdana" w:hAnsi="Verdana" w:cs="Arial"/>
        </w:rPr>
        <w:t>El valor de los derechos por concepto de rendimientos financieros propiedad del SGR recaudados por terceros, con crédito a la subcuenta 480240- Rendimientos de recursos sistema general de regalías.</w:t>
      </w:r>
    </w:p>
    <w:p w14:paraId="65258DEC" w14:textId="77777777" w:rsidR="00355F8E" w:rsidRPr="00CD459A" w:rsidRDefault="00355F8E" w:rsidP="00355F8E">
      <w:pPr>
        <w:pStyle w:val="Prrafodelista"/>
        <w:suppressLineNumbers/>
        <w:tabs>
          <w:tab w:val="left" w:pos="-720"/>
        </w:tabs>
        <w:spacing w:line="240" w:lineRule="auto"/>
        <w:ind w:right="51"/>
        <w:jc w:val="both"/>
        <w:rPr>
          <w:rFonts w:ascii="Verdana" w:hAnsi="Verdana" w:cs="Arial"/>
        </w:rPr>
      </w:pPr>
    </w:p>
    <w:p w14:paraId="7FC3E2EA" w14:textId="6CC28E05"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SE ACREDITA CON:</w:t>
      </w:r>
    </w:p>
    <w:p w14:paraId="18E52B5D" w14:textId="77777777" w:rsidR="007C7EF4" w:rsidRPr="00CD459A" w:rsidRDefault="007C7EF4" w:rsidP="00AB3D96">
      <w:pPr>
        <w:pStyle w:val="Prrafodelista"/>
        <w:numPr>
          <w:ilvl w:val="0"/>
          <w:numId w:val="33"/>
        </w:numPr>
        <w:suppressLineNumbers/>
        <w:tabs>
          <w:tab w:val="left" w:pos="-720"/>
        </w:tabs>
        <w:spacing w:line="240" w:lineRule="auto"/>
        <w:ind w:right="51"/>
        <w:jc w:val="both"/>
        <w:rPr>
          <w:rFonts w:ascii="Verdana" w:hAnsi="Verdana" w:cs="Arial"/>
        </w:rPr>
      </w:pPr>
      <w:r w:rsidRPr="00CD459A">
        <w:rPr>
          <w:rFonts w:ascii="Verdana" w:hAnsi="Verdana" w:cs="Arial"/>
        </w:rPr>
        <w:t>El valor de las regalias y rendimientos financieros transferidos al Ministerio de Hacienda, con debito a la subcuenta 114001 – Cuenta Única Sistema General del Regalías.</w:t>
      </w:r>
    </w:p>
    <w:tbl>
      <w:tblPr>
        <w:tblW w:w="8929" w:type="dxa"/>
        <w:tblInd w:w="129" w:type="dxa"/>
        <w:tblLayout w:type="fixed"/>
        <w:tblCellMar>
          <w:left w:w="127" w:type="dxa"/>
          <w:right w:w="127" w:type="dxa"/>
        </w:tblCellMar>
        <w:tblLook w:val="0000" w:firstRow="0" w:lastRow="0" w:firstColumn="0" w:lastColumn="0" w:noHBand="0" w:noVBand="0"/>
      </w:tblPr>
      <w:tblGrid>
        <w:gridCol w:w="1564"/>
        <w:gridCol w:w="2977"/>
        <w:gridCol w:w="4388"/>
      </w:tblGrid>
      <w:tr w:rsidR="00CD459A" w:rsidRPr="00CD459A" w14:paraId="6161FB54" w14:textId="77777777" w:rsidTr="003B74CE">
        <w:trPr>
          <w:cantSplit/>
          <w:trHeight w:val="475"/>
        </w:trPr>
        <w:tc>
          <w:tcPr>
            <w:tcW w:w="1564" w:type="dxa"/>
            <w:tcBorders>
              <w:top w:val="single" w:sz="6" w:space="0" w:color="auto"/>
              <w:left w:val="single" w:sz="6" w:space="0" w:color="auto"/>
              <w:right w:val="single" w:sz="6" w:space="0" w:color="auto"/>
            </w:tcBorders>
          </w:tcPr>
          <w:p w14:paraId="3A840BED"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2977" w:type="dxa"/>
            <w:tcBorders>
              <w:top w:val="single" w:sz="6" w:space="0" w:color="auto"/>
              <w:left w:val="single" w:sz="6" w:space="0" w:color="auto"/>
              <w:right w:val="single" w:sz="6" w:space="0" w:color="auto"/>
            </w:tcBorders>
          </w:tcPr>
          <w:p w14:paraId="76CA4DF3"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4388" w:type="dxa"/>
            <w:tcBorders>
              <w:top w:val="single" w:sz="6" w:space="0" w:color="auto"/>
              <w:left w:val="single" w:sz="6" w:space="0" w:color="auto"/>
              <w:right w:val="single" w:sz="6" w:space="0" w:color="auto"/>
            </w:tcBorders>
          </w:tcPr>
          <w:p w14:paraId="4A1D4EB9"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1ED4AB88" w14:textId="77777777" w:rsidTr="003B74CE">
        <w:trPr>
          <w:cantSplit/>
          <w:trHeight w:val="461"/>
        </w:trPr>
        <w:tc>
          <w:tcPr>
            <w:tcW w:w="1564" w:type="dxa"/>
            <w:tcBorders>
              <w:top w:val="single" w:sz="6" w:space="0" w:color="auto"/>
              <w:left w:val="single" w:sz="6" w:space="0" w:color="auto"/>
              <w:bottom w:val="single" w:sz="6" w:space="0" w:color="auto"/>
              <w:right w:val="single" w:sz="6" w:space="0" w:color="auto"/>
            </w:tcBorders>
          </w:tcPr>
          <w:p w14:paraId="06F3A37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2977" w:type="dxa"/>
            <w:tcBorders>
              <w:top w:val="single" w:sz="6" w:space="0" w:color="auto"/>
              <w:left w:val="single" w:sz="6" w:space="0" w:color="auto"/>
              <w:bottom w:val="single" w:sz="6" w:space="0" w:color="auto"/>
              <w:right w:val="single" w:sz="6" w:space="0" w:color="auto"/>
            </w:tcBorders>
          </w:tcPr>
          <w:p w14:paraId="4BD3509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4388" w:type="dxa"/>
            <w:tcBorders>
              <w:top w:val="single" w:sz="6" w:space="0" w:color="auto"/>
              <w:left w:val="single" w:sz="6" w:space="0" w:color="auto"/>
              <w:bottom w:val="single" w:sz="6" w:space="0" w:color="auto"/>
              <w:right w:val="single" w:sz="6" w:space="0" w:color="auto"/>
            </w:tcBorders>
            <w:shd w:val="pct20" w:color="auto" w:fill="auto"/>
          </w:tcPr>
          <w:p w14:paraId="04C89A50"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138490</w:t>
            </w:r>
          </w:p>
        </w:tc>
      </w:tr>
      <w:tr w:rsidR="00CD459A" w:rsidRPr="00CD459A" w14:paraId="7AF77BA3" w14:textId="77777777" w:rsidTr="003B74CE">
        <w:trPr>
          <w:cantSplit/>
          <w:trHeight w:val="475"/>
        </w:trPr>
        <w:tc>
          <w:tcPr>
            <w:tcW w:w="1564" w:type="dxa"/>
            <w:tcBorders>
              <w:left w:val="single" w:sz="6" w:space="0" w:color="auto"/>
              <w:bottom w:val="single" w:sz="6" w:space="0" w:color="auto"/>
              <w:right w:val="single" w:sz="6" w:space="0" w:color="auto"/>
            </w:tcBorders>
          </w:tcPr>
          <w:p w14:paraId="5FC54A49"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2977" w:type="dxa"/>
            <w:tcBorders>
              <w:left w:val="single" w:sz="6" w:space="0" w:color="auto"/>
              <w:bottom w:val="single" w:sz="6" w:space="0" w:color="auto"/>
              <w:right w:val="single" w:sz="6" w:space="0" w:color="auto"/>
            </w:tcBorders>
          </w:tcPr>
          <w:p w14:paraId="2EBFB01B"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4388" w:type="dxa"/>
            <w:tcBorders>
              <w:left w:val="single" w:sz="6" w:space="0" w:color="auto"/>
              <w:bottom w:val="single" w:sz="6" w:space="0" w:color="auto"/>
              <w:right w:val="single" w:sz="6" w:space="0" w:color="auto"/>
            </w:tcBorders>
            <w:shd w:val="pct20" w:color="auto" w:fill="auto"/>
          </w:tcPr>
          <w:p w14:paraId="0AD3D0A2"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OTRAS CUENTAS POR</w:t>
            </w:r>
            <w:r w:rsidRPr="00CD459A">
              <w:rPr>
                <w:rFonts w:ascii="Verdana" w:hAnsi="Verdana" w:cs="Arial"/>
                <w:spacing w:val="-3"/>
              </w:rPr>
              <w:t xml:space="preserve"> </w:t>
            </w:r>
            <w:r w:rsidRPr="00CD459A">
              <w:rPr>
                <w:rFonts w:ascii="Verdana" w:hAnsi="Verdana" w:cs="Arial"/>
              </w:rPr>
              <w:t>COBRAR</w:t>
            </w:r>
          </w:p>
        </w:tc>
      </w:tr>
    </w:tbl>
    <w:p w14:paraId="034F238A" w14:textId="77777777" w:rsidR="007C7EF4" w:rsidRPr="00CD459A" w:rsidRDefault="007C7EF4" w:rsidP="007C7EF4">
      <w:pPr>
        <w:suppressLineNumbers/>
        <w:tabs>
          <w:tab w:val="left" w:pos="-720"/>
        </w:tabs>
        <w:ind w:right="51"/>
        <w:jc w:val="both"/>
        <w:rPr>
          <w:rFonts w:ascii="Verdana" w:hAnsi="Verdana" w:cs="Arial"/>
        </w:rPr>
      </w:pPr>
    </w:p>
    <w:p w14:paraId="0E131A69"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 xml:space="preserve">DESCRIPCIÓN </w:t>
      </w:r>
    </w:p>
    <w:p w14:paraId="3AFC0FBD"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Representa el valor de los derechos de cobro que tiene el Sistema General de Regalías que no están clasificados en las demás subcuentas del activo. En condiciones normales, la afectación más recurrente a esta subcuenta corresponde a los derechos del Sistema General de Regalías por valores girados en exceso a entidades territoriales en periodos contables anteriores, que por “Instrucción de abono a cuenta” emitida por el Departamento Nacional de Planeación se debe descontar.</w:t>
      </w:r>
    </w:p>
    <w:p w14:paraId="72F493CF" w14:textId="77777777" w:rsidR="007C7EF4" w:rsidRPr="00CD459A" w:rsidRDefault="007C7EF4" w:rsidP="007C7EF4">
      <w:pPr>
        <w:suppressLineNumbers/>
        <w:tabs>
          <w:tab w:val="left" w:pos="-720"/>
        </w:tabs>
        <w:ind w:right="51"/>
        <w:jc w:val="both"/>
        <w:rPr>
          <w:rFonts w:ascii="Verdana" w:hAnsi="Verdana" w:cs="Arial"/>
        </w:rPr>
      </w:pPr>
    </w:p>
    <w:p w14:paraId="7F3EC19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68C09C90"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Los derechos por los conceptos que no están clasificados en otras cuentas del activo se registran por el importe en pesos que se espera recibir del deudor. Para el caso de </w:t>
      </w:r>
      <w:r w:rsidRPr="00CD459A">
        <w:rPr>
          <w:rFonts w:ascii="Verdana" w:hAnsi="Verdana" w:cs="Arial"/>
        </w:rPr>
        <w:t>valores girados en exceso a entidades territoriales en periodos contables anteriores, se registra por el valor que ordena descontar el Departamento Nacional de Planeación en la “Instrucción de abono a cuenta”.</w:t>
      </w:r>
    </w:p>
    <w:p w14:paraId="4043393F" w14:textId="77777777" w:rsidR="007C7EF4" w:rsidRPr="00CD459A" w:rsidRDefault="007C7EF4" w:rsidP="007C7EF4">
      <w:pPr>
        <w:autoSpaceDE w:val="0"/>
        <w:autoSpaceDN w:val="0"/>
        <w:adjustRightInd w:val="0"/>
        <w:jc w:val="both"/>
        <w:rPr>
          <w:rFonts w:ascii="Verdana" w:hAnsi="Verdana" w:cs="Arial"/>
          <w:lang w:val="es-ES_tradnl"/>
        </w:rPr>
      </w:pPr>
    </w:p>
    <w:p w14:paraId="6DF8062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3EC63A8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Instrucción Abono en cuenta emitida por el </w:t>
      </w:r>
      <w:r w:rsidRPr="00CD459A">
        <w:rPr>
          <w:rFonts w:ascii="Verdana" w:hAnsi="Verdana" w:cs="Arial"/>
        </w:rPr>
        <w:t>Departamento Nacional de Planeación</w:t>
      </w:r>
    </w:p>
    <w:p w14:paraId="55BF7BAB" w14:textId="77777777" w:rsidR="007C7EF4" w:rsidRPr="00CD459A" w:rsidRDefault="007C7EF4" w:rsidP="007C7EF4">
      <w:pPr>
        <w:autoSpaceDE w:val="0"/>
        <w:autoSpaceDN w:val="0"/>
        <w:adjustRightInd w:val="0"/>
        <w:jc w:val="both"/>
        <w:rPr>
          <w:rFonts w:ascii="Verdana" w:hAnsi="Verdana" w:cs="Arial"/>
          <w:lang w:val="es-ES_tradnl"/>
        </w:rPr>
      </w:pPr>
    </w:p>
    <w:p w14:paraId="2DF8454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556CAEB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frente al valor reportado en la Instrucción de Abono en cuenta por concepto de Descuentos FDR bolsa compensaciones asignaciones directas.</w:t>
      </w:r>
    </w:p>
    <w:p w14:paraId="4576A50D" w14:textId="77777777" w:rsidR="007C7EF4" w:rsidRPr="00CD459A" w:rsidRDefault="007C7EF4" w:rsidP="007C7EF4">
      <w:pPr>
        <w:autoSpaceDE w:val="0"/>
        <w:autoSpaceDN w:val="0"/>
        <w:adjustRightInd w:val="0"/>
        <w:jc w:val="both"/>
        <w:rPr>
          <w:rFonts w:ascii="Verdana" w:hAnsi="Verdana" w:cs="Arial"/>
          <w:lang w:val="es-ES_tradnl"/>
        </w:rPr>
      </w:pPr>
    </w:p>
    <w:p w14:paraId="73A6BB0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56C8A2A7"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El saldo de la subcuenta será revelado discriminando el valor que tiene que cancelar cada uno de los deudores. </w:t>
      </w:r>
    </w:p>
    <w:p w14:paraId="6A14C884" w14:textId="77777777" w:rsidR="007C7EF4" w:rsidRPr="00CD459A" w:rsidRDefault="007C7EF4" w:rsidP="007C7EF4">
      <w:pPr>
        <w:suppressLineNumbers/>
        <w:tabs>
          <w:tab w:val="left" w:pos="-720"/>
        </w:tabs>
        <w:ind w:right="51"/>
        <w:jc w:val="both"/>
        <w:rPr>
          <w:rFonts w:ascii="Verdana" w:hAnsi="Verdana" w:cs="Arial"/>
        </w:rPr>
      </w:pPr>
    </w:p>
    <w:p w14:paraId="3A5D66B7"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DINÁMICA</w:t>
      </w:r>
    </w:p>
    <w:p w14:paraId="2C3A5080" w14:textId="77777777" w:rsidR="007C7EF4" w:rsidRPr="00CD459A" w:rsidRDefault="007C7EF4" w:rsidP="007C7EF4">
      <w:pPr>
        <w:suppressLineNumbers/>
        <w:tabs>
          <w:tab w:val="left" w:pos="-720"/>
        </w:tabs>
        <w:ind w:right="51"/>
        <w:jc w:val="both"/>
        <w:rPr>
          <w:rFonts w:ascii="Verdana" w:hAnsi="Verdana" w:cs="Arial"/>
        </w:rPr>
      </w:pPr>
    </w:p>
    <w:p w14:paraId="542F060E"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SE DEBITA CON:</w:t>
      </w:r>
    </w:p>
    <w:p w14:paraId="7492F6DC" w14:textId="77777777" w:rsidR="007C7EF4" w:rsidRDefault="007C7EF4" w:rsidP="00AB3D96">
      <w:pPr>
        <w:pStyle w:val="Prrafodelista"/>
        <w:numPr>
          <w:ilvl w:val="0"/>
          <w:numId w:val="34"/>
        </w:numPr>
        <w:suppressLineNumbers/>
        <w:tabs>
          <w:tab w:val="left" w:pos="-720"/>
        </w:tabs>
        <w:spacing w:line="240" w:lineRule="auto"/>
        <w:ind w:right="51"/>
        <w:jc w:val="both"/>
        <w:rPr>
          <w:rFonts w:ascii="Verdana" w:hAnsi="Verdana" w:cs="Arial"/>
        </w:rPr>
      </w:pPr>
      <w:r w:rsidRPr="00CD459A">
        <w:rPr>
          <w:rFonts w:ascii="Verdana" w:hAnsi="Verdana" w:cs="Arial"/>
        </w:rPr>
        <w:t xml:space="preserve">El valor de los derechos, con crédito a la subcuenta que represente el concepto de la operación. Para el caso </w:t>
      </w:r>
      <w:r w:rsidRPr="00CD459A">
        <w:rPr>
          <w:rFonts w:ascii="Verdana" w:hAnsi="Verdana" w:cs="Arial"/>
          <w:lang w:val="es-ES_tradnl"/>
        </w:rPr>
        <w:t xml:space="preserve">de </w:t>
      </w:r>
      <w:r w:rsidRPr="00CD459A">
        <w:rPr>
          <w:rFonts w:ascii="Verdana" w:hAnsi="Verdana" w:cs="Arial"/>
        </w:rPr>
        <w:t>valores girados en exceso a entidades territoriales en periodos contables anteriores el crédito se registra a la subcuenta 480826 - Recuperaciones.</w:t>
      </w:r>
    </w:p>
    <w:p w14:paraId="6B696ED6" w14:textId="77777777" w:rsidR="00355F8E" w:rsidRPr="00CD459A" w:rsidRDefault="00355F8E" w:rsidP="00355F8E">
      <w:pPr>
        <w:pStyle w:val="Prrafodelista"/>
        <w:suppressLineNumbers/>
        <w:tabs>
          <w:tab w:val="left" w:pos="-720"/>
        </w:tabs>
        <w:spacing w:line="240" w:lineRule="auto"/>
        <w:ind w:right="51"/>
        <w:jc w:val="both"/>
        <w:rPr>
          <w:rFonts w:ascii="Verdana" w:hAnsi="Verdana" w:cs="Arial"/>
        </w:rPr>
      </w:pPr>
    </w:p>
    <w:p w14:paraId="45153BD3"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SE ACREDITA CON:</w:t>
      </w:r>
    </w:p>
    <w:p w14:paraId="037F9C61" w14:textId="77777777" w:rsidR="007C7EF4" w:rsidRPr="00CD459A" w:rsidRDefault="007C7EF4" w:rsidP="00AB3D96">
      <w:pPr>
        <w:pStyle w:val="Prrafodelista"/>
        <w:numPr>
          <w:ilvl w:val="0"/>
          <w:numId w:val="34"/>
        </w:numPr>
        <w:suppressLineNumbers/>
        <w:tabs>
          <w:tab w:val="left" w:pos="-720"/>
        </w:tabs>
        <w:spacing w:line="240" w:lineRule="auto"/>
        <w:ind w:right="51"/>
        <w:jc w:val="both"/>
        <w:rPr>
          <w:rFonts w:ascii="Verdana" w:hAnsi="Verdana" w:cs="Arial"/>
        </w:rPr>
      </w:pPr>
      <w:r w:rsidRPr="00CD459A">
        <w:rPr>
          <w:rFonts w:ascii="Verdana" w:hAnsi="Verdana" w:cs="Arial"/>
        </w:rPr>
        <w:t>El valor con el cual se extingue la obligación del deudor, con debito a la subcuenta 114001 – Cuenta Única Sistema General del Regalías. Cuando el valor sea recaudado, o con debito a la subcuenta 240316 cuando los descuentos van a ser descontados en una próxima “Instrucción de abono a cuenta”.</w:t>
      </w:r>
    </w:p>
    <w:p w14:paraId="519EF30E" w14:textId="77777777" w:rsidR="007C7EF4" w:rsidRPr="00CD459A" w:rsidRDefault="007C7EF4" w:rsidP="007C7EF4">
      <w:pPr>
        <w:pStyle w:val="Prrafodelista"/>
        <w:suppressLineNumbers/>
        <w:tabs>
          <w:tab w:val="left" w:pos="-720"/>
        </w:tabs>
        <w:ind w:right="51"/>
        <w:jc w:val="both"/>
        <w:rPr>
          <w:rFonts w:ascii="Verdana" w:hAnsi="Verdana" w:cs="Arial"/>
        </w:rPr>
      </w:pPr>
    </w:p>
    <w:tbl>
      <w:tblPr>
        <w:tblW w:w="8510" w:type="dxa"/>
        <w:tblInd w:w="129" w:type="dxa"/>
        <w:tblLayout w:type="fixed"/>
        <w:tblCellMar>
          <w:left w:w="127" w:type="dxa"/>
          <w:right w:w="127" w:type="dxa"/>
        </w:tblCellMar>
        <w:tblLook w:val="0000" w:firstRow="0" w:lastRow="0" w:firstColumn="0" w:lastColumn="0" w:noHBand="0" w:noVBand="0"/>
      </w:tblPr>
      <w:tblGrid>
        <w:gridCol w:w="2176"/>
        <w:gridCol w:w="3163"/>
        <w:gridCol w:w="3171"/>
      </w:tblGrid>
      <w:tr w:rsidR="00CD459A" w:rsidRPr="00CD459A" w14:paraId="4AE1DB83" w14:textId="77777777" w:rsidTr="003B74CE">
        <w:trPr>
          <w:cantSplit/>
          <w:trHeight w:val="257"/>
        </w:trPr>
        <w:tc>
          <w:tcPr>
            <w:tcW w:w="2176" w:type="dxa"/>
            <w:tcBorders>
              <w:top w:val="single" w:sz="6" w:space="0" w:color="auto"/>
              <w:left w:val="single" w:sz="6" w:space="0" w:color="auto"/>
              <w:right w:val="single" w:sz="6" w:space="0" w:color="auto"/>
            </w:tcBorders>
          </w:tcPr>
          <w:p w14:paraId="62E67478"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3163" w:type="dxa"/>
            <w:tcBorders>
              <w:top w:val="single" w:sz="6" w:space="0" w:color="auto"/>
              <w:left w:val="single" w:sz="6" w:space="0" w:color="auto"/>
              <w:right w:val="single" w:sz="6" w:space="0" w:color="auto"/>
            </w:tcBorders>
          </w:tcPr>
          <w:p w14:paraId="3E0EFB28"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3171" w:type="dxa"/>
            <w:tcBorders>
              <w:top w:val="single" w:sz="6" w:space="0" w:color="auto"/>
              <w:left w:val="single" w:sz="6" w:space="0" w:color="auto"/>
              <w:right w:val="single" w:sz="6" w:space="0" w:color="auto"/>
            </w:tcBorders>
          </w:tcPr>
          <w:p w14:paraId="5FC60605"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7F7BD7A2" w14:textId="77777777" w:rsidTr="003B74CE">
        <w:trPr>
          <w:cantSplit/>
          <w:trHeight w:val="250"/>
        </w:trPr>
        <w:tc>
          <w:tcPr>
            <w:tcW w:w="2176" w:type="dxa"/>
            <w:tcBorders>
              <w:top w:val="single" w:sz="6" w:space="0" w:color="auto"/>
              <w:left w:val="single" w:sz="6" w:space="0" w:color="auto"/>
              <w:bottom w:val="single" w:sz="6" w:space="0" w:color="auto"/>
              <w:right w:val="single" w:sz="6" w:space="0" w:color="auto"/>
            </w:tcBorders>
          </w:tcPr>
          <w:p w14:paraId="55AF076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3163" w:type="dxa"/>
            <w:tcBorders>
              <w:top w:val="single" w:sz="6" w:space="0" w:color="auto"/>
              <w:left w:val="single" w:sz="6" w:space="0" w:color="auto"/>
              <w:bottom w:val="single" w:sz="6" w:space="0" w:color="auto"/>
              <w:right w:val="single" w:sz="6" w:space="0" w:color="auto"/>
            </w:tcBorders>
          </w:tcPr>
          <w:p w14:paraId="36BCF4CF"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w:t>
            </w:r>
          </w:p>
        </w:tc>
        <w:tc>
          <w:tcPr>
            <w:tcW w:w="3171" w:type="dxa"/>
            <w:tcBorders>
              <w:top w:val="single" w:sz="6" w:space="0" w:color="auto"/>
              <w:left w:val="single" w:sz="6" w:space="0" w:color="auto"/>
              <w:bottom w:val="single" w:sz="6" w:space="0" w:color="auto"/>
              <w:right w:val="single" w:sz="6" w:space="0" w:color="auto"/>
            </w:tcBorders>
            <w:shd w:val="pct20" w:color="auto" w:fill="auto"/>
          </w:tcPr>
          <w:p w14:paraId="0A08679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138690</w:t>
            </w:r>
          </w:p>
        </w:tc>
      </w:tr>
      <w:tr w:rsidR="00CD459A" w:rsidRPr="00CD459A" w14:paraId="6E575F8B" w14:textId="77777777" w:rsidTr="003B74CE">
        <w:trPr>
          <w:cantSplit/>
          <w:trHeight w:val="257"/>
        </w:trPr>
        <w:tc>
          <w:tcPr>
            <w:tcW w:w="2176" w:type="dxa"/>
            <w:tcBorders>
              <w:left w:val="single" w:sz="6" w:space="0" w:color="auto"/>
              <w:bottom w:val="single" w:sz="6" w:space="0" w:color="auto"/>
              <w:right w:val="single" w:sz="6" w:space="0" w:color="auto"/>
            </w:tcBorders>
          </w:tcPr>
          <w:p w14:paraId="4D0C6DB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3163" w:type="dxa"/>
            <w:tcBorders>
              <w:left w:val="single" w:sz="6" w:space="0" w:color="auto"/>
              <w:bottom w:val="single" w:sz="6" w:space="0" w:color="auto"/>
              <w:right w:val="single" w:sz="6" w:space="0" w:color="auto"/>
            </w:tcBorders>
          </w:tcPr>
          <w:p w14:paraId="70DAF0A8"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CUENTAS POR COBRAR</w:t>
            </w:r>
          </w:p>
        </w:tc>
        <w:tc>
          <w:tcPr>
            <w:tcW w:w="3171" w:type="dxa"/>
            <w:tcBorders>
              <w:left w:val="single" w:sz="6" w:space="0" w:color="auto"/>
              <w:bottom w:val="single" w:sz="6" w:space="0" w:color="auto"/>
              <w:right w:val="single" w:sz="6" w:space="0" w:color="auto"/>
            </w:tcBorders>
            <w:shd w:val="pct20" w:color="auto" w:fill="auto"/>
          </w:tcPr>
          <w:p w14:paraId="1A4F46AF"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OTRAS CUENTAS POR COBRAR</w:t>
            </w:r>
          </w:p>
        </w:tc>
      </w:tr>
    </w:tbl>
    <w:p w14:paraId="28F94BA3" w14:textId="77777777" w:rsidR="007C7EF4" w:rsidRPr="00CD459A" w:rsidRDefault="007C7EF4" w:rsidP="007C7EF4">
      <w:pPr>
        <w:suppressLineNumbers/>
        <w:tabs>
          <w:tab w:val="left" w:pos="-720"/>
          <w:tab w:val="left" w:pos="1134"/>
        </w:tabs>
        <w:ind w:right="51"/>
        <w:jc w:val="both"/>
        <w:rPr>
          <w:rFonts w:ascii="Verdana" w:hAnsi="Verdana" w:cs="Arial"/>
        </w:rPr>
      </w:pPr>
    </w:p>
    <w:p w14:paraId="7ED774AB"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DESCRIPCIÓN </w:t>
      </w:r>
    </w:p>
    <w:p w14:paraId="2AA3B6C3" w14:textId="77777777" w:rsidR="007C7EF4" w:rsidRPr="00CD459A" w:rsidRDefault="007C7EF4" w:rsidP="007C7EF4">
      <w:pPr>
        <w:pStyle w:val="Normal11"/>
        <w:jc w:val="both"/>
        <w:rPr>
          <w:rFonts w:ascii="Verdana" w:hAnsi="Verdana" w:cs="Arial"/>
          <w:sz w:val="22"/>
          <w:szCs w:val="22"/>
          <w:lang w:val="es-ES_tradnl"/>
        </w:rPr>
      </w:pPr>
    </w:p>
    <w:p w14:paraId="65A72D6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El saldo de esta cuenta se refleja con naturaleza contraria (Crédito) y corresponde al deterioro de las cuentas por cobrar que posee el Sistema General de Regalías. </w:t>
      </w:r>
    </w:p>
    <w:p w14:paraId="5984DA92" w14:textId="77777777" w:rsidR="007C7EF4" w:rsidRPr="00CD459A" w:rsidRDefault="007C7EF4" w:rsidP="007C7EF4">
      <w:pPr>
        <w:autoSpaceDE w:val="0"/>
        <w:autoSpaceDN w:val="0"/>
        <w:adjustRightInd w:val="0"/>
        <w:jc w:val="both"/>
        <w:rPr>
          <w:rFonts w:ascii="Verdana" w:hAnsi="Verdana" w:cs="Arial"/>
          <w:lang w:val="es-ES_tradnl"/>
        </w:rPr>
      </w:pPr>
    </w:p>
    <w:p w14:paraId="58C2084D"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7B840A8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deterioro se mide con el valor certificado por la Agencia Nacional de Hidrocarburos, la Agencia Nacional de Minería y los responsables de la gestión de cobro de los demás deudores del Sistema General de Regalías, dependiendo de las políticas y procedimientos definidos para tal efecto.</w:t>
      </w:r>
    </w:p>
    <w:p w14:paraId="13944E36" w14:textId="77777777" w:rsidR="007C7EF4" w:rsidRPr="00CD459A" w:rsidRDefault="007C7EF4" w:rsidP="007C7EF4">
      <w:pPr>
        <w:autoSpaceDE w:val="0"/>
        <w:autoSpaceDN w:val="0"/>
        <w:adjustRightInd w:val="0"/>
        <w:jc w:val="both"/>
        <w:rPr>
          <w:rFonts w:ascii="Verdana" w:hAnsi="Verdana" w:cs="Arial"/>
          <w:lang w:val="es-ES_tradnl"/>
        </w:rPr>
      </w:pPr>
    </w:p>
    <w:p w14:paraId="3B89229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1856868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el Contador de la Agencia Nacional de Hidrocarburos.</w:t>
      </w:r>
    </w:p>
    <w:p w14:paraId="4A73E520"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el Contador de la Agencia Nacional de Minería.</w:t>
      </w:r>
    </w:p>
    <w:p w14:paraId="5B29CEA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los demás responsables de la gestión de cobro de los deudores del Sistema General de Regalías.</w:t>
      </w:r>
    </w:p>
    <w:p w14:paraId="6DEA725A" w14:textId="77777777" w:rsidR="007C7EF4" w:rsidRPr="00CD459A" w:rsidRDefault="007C7EF4" w:rsidP="007C7EF4">
      <w:pPr>
        <w:autoSpaceDE w:val="0"/>
        <w:autoSpaceDN w:val="0"/>
        <w:adjustRightInd w:val="0"/>
        <w:jc w:val="both"/>
        <w:rPr>
          <w:rFonts w:ascii="Verdana" w:hAnsi="Verdana" w:cs="Arial"/>
          <w:lang w:val="es-ES_tradnl"/>
        </w:rPr>
      </w:pPr>
    </w:p>
    <w:p w14:paraId="4E9FCEE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7D3420CA"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por tercero frente, al detalle remitido por la Agencia Nacional de Hidrocarburos, la Agencia Nacional de Minería y los demás responsables de la gestión de cobro de los deudores del Sistema General de Regalías.</w:t>
      </w:r>
    </w:p>
    <w:p w14:paraId="53DAEA01" w14:textId="77777777" w:rsidR="007C7EF4" w:rsidRPr="00CD459A" w:rsidRDefault="007C7EF4" w:rsidP="007C7EF4">
      <w:pPr>
        <w:autoSpaceDE w:val="0"/>
        <w:autoSpaceDN w:val="0"/>
        <w:adjustRightInd w:val="0"/>
        <w:jc w:val="both"/>
        <w:rPr>
          <w:rFonts w:ascii="Verdana" w:hAnsi="Verdana" w:cs="Arial"/>
          <w:lang w:val="es-ES_tradnl"/>
        </w:rPr>
      </w:pPr>
    </w:p>
    <w:p w14:paraId="105015B0"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5E963746"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saldo de la subcuenta 138690 será revelado discriminando el tercero quien es el deudor de la obligación en mora sobre la cual se calculó el deterioro.</w:t>
      </w:r>
    </w:p>
    <w:p w14:paraId="53EFC0AE" w14:textId="77777777" w:rsidR="00355F8E" w:rsidRDefault="00355F8E" w:rsidP="007C7EF4">
      <w:pPr>
        <w:pStyle w:val="Textoindependiente"/>
        <w:ind w:right="47"/>
        <w:rPr>
          <w:rFonts w:ascii="Verdana" w:hAnsi="Verdana" w:cs="Arial"/>
          <w:sz w:val="22"/>
          <w:szCs w:val="22"/>
          <w:lang w:val="es-CO"/>
        </w:rPr>
      </w:pPr>
    </w:p>
    <w:p w14:paraId="11BADF0D" w14:textId="563BEC94"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DINÁMICA </w:t>
      </w:r>
    </w:p>
    <w:p w14:paraId="490BAD78" w14:textId="77777777" w:rsidR="007C7EF4" w:rsidRPr="00CD459A" w:rsidRDefault="007C7EF4" w:rsidP="007C7EF4">
      <w:pPr>
        <w:pStyle w:val="Textoindependiente"/>
        <w:ind w:right="47"/>
        <w:rPr>
          <w:rFonts w:ascii="Verdana" w:hAnsi="Verdana" w:cs="Arial"/>
          <w:sz w:val="22"/>
          <w:szCs w:val="22"/>
          <w:lang w:val="es-CO"/>
        </w:rPr>
      </w:pPr>
    </w:p>
    <w:p w14:paraId="600AB3D3"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DEBITA CON: </w:t>
      </w:r>
    </w:p>
    <w:p w14:paraId="15A1A0B0" w14:textId="77777777" w:rsidR="007C7EF4" w:rsidRPr="00CD459A" w:rsidRDefault="007C7EF4" w:rsidP="007C7EF4">
      <w:pPr>
        <w:pStyle w:val="Textoindependiente"/>
        <w:ind w:right="47"/>
        <w:rPr>
          <w:rFonts w:ascii="Verdana" w:hAnsi="Verdana" w:cs="Arial"/>
          <w:sz w:val="22"/>
          <w:szCs w:val="22"/>
          <w:lang w:val="es-CO"/>
        </w:rPr>
      </w:pPr>
    </w:p>
    <w:p w14:paraId="749E3D27" w14:textId="77777777" w:rsidR="007C7EF4" w:rsidRPr="00CD459A"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CO"/>
        </w:rPr>
        <w:t xml:space="preserve">El valor recaudado por el cumplimiento de la obligación del deudor. </w:t>
      </w:r>
      <w:r w:rsidRPr="00CD459A">
        <w:rPr>
          <w:rFonts w:ascii="Verdana" w:hAnsi="Verdana" w:cs="Arial"/>
          <w:sz w:val="22"/>
          <w:szCs w:val="22"/>
          <w:lang w:val="es-ES_tradnl"/>
        </w:rPr>
        <w:t xml:space="preserve">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 la subcuenta 534790 - Otras cuentas por cobrar.</w:t>
      </w:r>
    </w:p>
    <w:p w14:paraId="759CEA5D" w14:textId="77777777" w:rsidR="007C7EF4"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ES_tradnl"/>
        </w:rPr>
        <w:t xml:space="preserve">El castigo de cartera cuando se establece como incobrable. 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al deudor que originó el deterioro.</w:t>
      </w:r>
    </w:p>
    <w:p w14:paraId="23CEF93A" w14:textId="77777777" w:rsidR="00355F8E" w:rsidRPr="00CD459A" w:rsidRDefault="00355F8E" w:rsidP="00355F8E">
      <w:pPr>
        <w:pStyle w:val="Textoindependiente"/>
        <w:widowControl/>
        <w:ind w:left="360" w:right="388"/>
        <w:rPr>
          <w:rFonts w:ascii="Verdana" w:hAnsi="Verdana" w:cs="Arial"/>
          <w:sz w:val="22"/>
          <w:szCs w:val="22"/>
          <w:lang w:val="es-ES_tradnl"/>
        </w:rPr>
      </w:pPr>
    </w:p>
    <w:p w14:paraId="1FD7F2E4" w14:textId="77777777" w:rsidR="007C7EF4" w:rsidRPr="00CD459A" w:rsidRDefault="007C7EF4" w:rsidP="007C7EF4">
      <w:pPr>
        <w:pStyle w:val="Textoindependiente"/>
        <w:widowControl/>
        <w:ind w:left="360" w:right="388"/>
        <w:rPr>
          <w:rFonts w:ascii="Verdana" w:hAnsi="Verdana" w:cs="Arial"/>
          <w:sz w:val="22"/>
          <w:szCs w:val="22"/>
          <w:lang w:val="es-ES_tradnl"/>
        </w:rPr>
      </w:pPr>
    </w:p>
    <w:p w14:paraId="3A8DC71B"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SE ACREDITA CON:</w:t>
      </w:r>
    </w:p>
    <w:p w14:paraId="6C1C2C13" w14:textId="77777777" w:rsidR="007C7EF4" w:rsidRPr="00CD459A" w:rsidRDefault="007C7EF4" w:rsidP="007C7EF4">
      <w:pPr>
        <w:pStyle w:val="Textoindependiente"/>
        <w:ind w:right="47"/>
        <w:rPr>
          <w:rFonts w:ascii="Verdana" w:hAnsi="Verdana" w:cs="Arial"/>
          <w:sz w:val="22"/>
          <w:szCs w:val="22"/>
        </w:rPr>
      </w:pPr>
    </w:p>
    <w:p w14:paraId="0FD3C9DE" w14:textId="77777777" w:rsidR="007C7EF4" w:rsidRPr="00CD459A" w:rsidRDefault="007C7EF4" w:rsidP="00AB3D96">
      <w:pPr>
        <w:pStyle w:val="Textoindependiente"/>
        <w:widowControl/>
        <w:numPr>
          <w:ilvl w:val="0"/>
          <w:numId w:val="30"/>
        </w:numPr>
        <w:ind w:right="247"/>
        <w:rPr>
          <w:rFonts w:ascii="Verdana" w:hAnsi="Verdana" w:cs="Arial"/>
          <w:sz w:val="22"/>
          <w:szCs w:val="22"/>
          <w:lang w:val="es-CO"/>
        </w:rPr>
      </w:pPr>
      <w:r w:rsidRPr="00CD459A">
        <w:rPr>
          <w:rFonts w:ascii="Verdana" w:hAnsi="Verdana" w:cs="Arial"/>
          <w:sz w:val="22"/>
          <w:szCs w:val="22"/>
          <w:lang w:val="es-CO"/>
        </w:rPr>
        <w:t>El valor del cálculo del deterioro informado por el responsable de la gestión de cobro de los deudores del Sistema General de Regalías, con debito a la subcuenta 534790 - Otras cuentas por cobrar.</w:t>
      </w:r>
    </w:p>
    <w:p w14:paraId="4AF411F4" w14:textId="77777777" w:rsidR="007C7EF4" w:rsidRPr="00CD459A" w:rsidRDefault="007C7EF4" w:rsidP="007C7EF4">
      <w:pPr>
        <w:pStyle w:val="Textoindependiente"/>
        <w:widowControl/>
        <w:ind w:left="360" w:right="-568"/>
        <w:rPr>
          <w:rFonts w:ascii="Verdana" w:hAnsi="Verdana" w:cs="Arial"/>
          <w:sz w:val="22"/>
          <w:szCs w:val="22"/>
          <w:lang w:val="es-CO"/>
        </w:rPr>
      </w:pPr>
    </w:p>
    <w:tbl>
      <w:tblPr>
        <w:tblW w:w="0" w:type="auto"/>
        <w:tblInd w:w="177" w:type="dxa"/>
        <w:tblLayout w:type="fixed"/>
        <w:tblCellMar>
          <w:left w:w="0" w:type="dxa"/>
          <w:right w:w="0" w:type="dxa"/>
        </w:tblCellMar>
        <w:tblLook w:val="01E0" w:firstRow="1" w:lastRow="1" w:firstColumn="1" w:lastColumn="1" w:noHBand="0" w:noVBand="0"/>
      </w:tblPr>
      <w:tblGrid>
        <w:gridCol w:w="1835"/>
        <w:gridCol w:w="3147"/>
        <w:gridCol w:w="3225"/>
      </w:tblGrid>
      <w:tr w:rsidR="00CD459A" w:rsidRPr="00CD459A" w14:paraId="65796B4F" w14:textId="77777777" w:rsidTr="003B74CE">
        <w:trPr>
          <w:trHeight w:hRule="exact" w:val="324"/>
        </w:trPr>
        <w:tc>
          <w:tcPr>
            <w:tcW w:w="1835" w:type="dxa"/>
            <w:tcBorders>
              <w:top w:val="single" w:sz="4" w:space="0" w:color="000000"/>
              <w:left w:val="single" w:sz="4" w:space="0" w:color="000000"/>
              <w:bottom w:val="single" w:sz="4" w:space="0" w:color="000000"/>
              <w:right w:val="single" w:sz="4" w:space="0" w:color="000000"/>
            </w:tcBorders>
            <w:shd w:val="clear" w:color="auto" w:fill="auto"/>
          </w:tcPr>
          <w:p w14:paraId="20F14599" w14:textId="77777777" w:rsidR="007C7EF4" w:rsidRPr="00CD459A" w:rsidRDefault="007C7EF4" w:rsidP="003B74CE">
            <w:pPr>
              <w:pStyle w:val="TableParagraph"/>
              <w:spacing w:before="83"/>
              <w:ind w:right="719"/>
              <w:jc w:val="center"/>
              <w:rPr>
                <w:rFonts w:ascii="Verdana" w:hAnsi="Verdana" w:cs="Arial"/>
                <w:b/>
                <w:bCs/>
              </w:rPr>
            </w:pPr>
            <w:r w:rsidRPr="00CD459A">
              <w:rPr>
                <w:rFonts w:ascii="Verdana" w:hAnsi="Verdana" w:cs="Arial"/>
                <w:b/>
                <w:bCs/>
              </w:rPr>
              <w:t>CLASE</w:t>
            </w:r>
          </w:p>
        </w:tc>
        <w:tc>
          <w:tcPr>
            <w:tcW w:w="3147" w:type="dxa"/>
            <w:tcBorders>
              <w:top w:val="single" w:sz="4" w:space="0" w:color="000000"/>
              <w:left w:val="single" w:sz="4" w:space="0" w:color="000000"/>
              <w:bottom w:val="single" w:sz="4" w:space="0" w:color="000000"/>
              <w:right w:val="single" w:sz="4" w:space="0" w:color="000000"/>
            </w:tcBorders>
            <w:shd w:val="clear" w:color="auto" w:fill="auto"/>
          </w:tcPr>
          <w:p w14:paraId="6307B667" w14:textId="77777777" w:rsidR="007C7EF4" w:rsidRPr="00CD459A" w:rsidRDefault="007C7EF4" w:rsidP="003B74CE">
            <w:pPr>
              <w:pStyle w:val="TableParagraph"/>
              <w:spacing w:before="83"/>
              <w:ind w:right="1368"/>
              <w:jc w:val="center"/>
              <w:rPr>
                <w:rFonts w:ascii="Verdana" w:hAnsi="Verdana" w:cs="Arial"/>
                <w:b/>
                <w:bCs/>
              </w:rPr>
            </w:pPr>
            <w:r w:rsidRPr="00CD459A">
              <w:rPr>
                <w:rFonts w:ascii="Verdana" w:hAnsi="Verdana" w:cs="Arial"/>
                <w:b/>
                <w:bCs/>
              </w:rPr>
              <w:t>GRUPO</w:t>
            </w:r>
          </w:p>
        </w:tc>
        <w:tc>
          <w:tcPr>
            <w:tcW w:w="3225" w:type="dxa"/>
            <w:tcBorders>
              <w:top w:val="single" w:sz="4" w:space="0" w:color="000000"/>
              <w:left w:val="single" w:sz="4" w:space="0" w:color="000000"/>
              <w:bottom w:val="single" w:sz="4" w:space="0" w:color="000000"/>
              <w:right w:val="single" w:sz="4" w:space="0" w:color="000000"/>
            </w:tcBorders>
            <w:shd w:val="clear" w:color="auto" w:fill="auto"/>
          </w:tcPr>
          <w:p w14:paraId="39ED739F" w14:textId="77777777" w:rsidR="007C7EF4" w:rsidRPr="00CD459A" w:rsidRDefault="007C7EF4" w:rsidP="003B74CE">
            <w:pPr>
              <w:pStyle w:val="TableParagraph"/>
              <w:spacing w:before="83"/>
              <w:ind w:right="1372"/>
              <w:jc w:val="center"/>
              <w:rPr>
                <w:rFonts w:ascii="Verdana" w:hAnsi="Verdana" w:cs="Arial"/>
                <w:b/>
                <w:bCs/>
              </w:rPr>
            </w:pPr>
            <w:r w:rsidRPr="00CD459A">
              <w:rPr>
                <w:rFonts w:ascii="Verdana" w:hAnsi="Verdana" w:cs="Arial"/>
                <w:b/>
                <w:bCs/>
              </w:rPr>
              <w:t>CUENTA</w:t>
            </w:r>
          </w:p>
        </w:tc>
      </w:tr>
      <w:tr w:rsidR="00CD459A" w:rsidRPr="00CD459A" w14:paraId="70C10489" w14:textId="77777777" w:rsidTr="003B74CE">
        <w:trPr>
          <w:trHeight w:hRule="exact" w:val="324"/>
        </w:trPr>
        <w:tc>
          <w:tcPr>
            <w:tcW w:w="1835" w:type="dxa"/>
            <w:tcBorders>
              <w:top w:val="single" w:sz="4" w:space="0" w:color="000000"/>
              <w:left w:val="single" w:sz="4" w:space="0" w:color="000000"/>
              <w:bottom w:val="single" w:sz="4" w:space="0" w:color="000000"/>
              <w:right w:val="single" w:sz="4" w:space="0" w:color="000000"/>
            </w:tcBorders>
            <w:shd w:val="clear" w:color="auto" w:fill="auto"/>
          </w:tcPr>
          <w:p w14:paraId="7E1699A6" w14:textId="77777777" w:rsidR="007C7EF4" w:rsidRPr="00CD459A" w:rsidRDefault="007C7EF4" w:rsidP="003B74CE">
            <w:pPr>
              <w:pStyle w:val="TableParagraph"/>
              <w:spacing w:before="83"/>
              <w:ind w:left="103"/>
              <w:jc w:val="both"/>
              <w:rPr>
                <w:rFonts w:ascii="Verdana" w:hAnsi="Verdana" w:cs="Arial"/>
              </w:rPr>
            </w:pPr>
            <w:r w:rsidRPr="00CD459A">
              <w:rPr>
                <w:rFonts w:ascii="Verdana" w:hAnsi="Verdana" w:cs="Arial"/>
              </w:rPr>
              <w:t>1</w:t>
            </w:r>
          </w:p>
        </w:tc>
        <w:tc>
          <w:tcPr>
            <w:tcW w:w="3147" w:type="dxa"/>
            <w:tcBorders>
              <w:top w:val="single" w:sz="4" w:space="0" w:color="000000"/>
              <w:left w:val="single" w:sz="4" w:space="0" w:color="000000"/>
              <w:bottom w:val="single" w:sz="4" w:space="0" w:color="000000"/>
              <w:right w:val="single" w:sz="4" w:space="0" w:color="000000"/>
            </w:tcBorders>
            <w:shd w:val="clear" w:color="auto" w:fill="auto"/>
          </w:tcPr>
          <w:p w14:paraId="44118159" w14:textId="77777777" w:rsidR="007C7EF4" w:rsidRPr="00CD459A" w:rsidRDefault="007C7EF4" w:rsidP="003B74CE">
            <w:pPr>
              <w:pStyle w:val="TableParagraph"/>
              <w:spacing w:before="83"/>
              <w:ind w:left="103" w:right="522"/>
              <w:jc w:val="both"/>
              <w:rPr>
                <w:rFonts w:ascii="Verdana" w:hAnsi="Verdana" w:cs="Arial"/>
              </w:rPr>
            </w:pPr>
            <w:r w:rsidRPr="00CD459A">
              <w:rPr>
                <w:rFonts w:ascii="Verdana" w:hAnsi="Verdana" w:cs="Arial"/>
              </w:rPr>
              <w:t>14</w:t>
            </w:r>
          </w:p>
        </w:tc>
        <w:tc>
          <w:tcPr>
            <w:tcW w:w="3225" w:type="dxa"/>
            <w:tcBorders>
              <w:top w:val="single" w:sz="4" w:space="0" w:color="000000"/>
              <w:left w:val="single" w:sz="4" w:space="0" w:color="000000"/>
              <w:bottom w:val="single" w:sz="4" w:space="0" w:color="000000"/>
              <w:right w:val="single" w:sz="4" w:space="0" w:color="000000"/>
            </w:tcBorders>
            <w:shd w:val="clear" w:color="auto" w:fill="auto"/>
          </w:tcPr>
          <w:p w14:paraId="6E9BF98A" w14:textId="77777777" w:rsidR="007C7EF4" w:rsidRPr="00CD459A" w:rsidRDefault="007C7EF4" w:rsidP="003B74CE">
            <w:pPr>
              <w:jc w:val="both"/>
              <w:rPr>
                <w:rFonts w:ascii="Verdana" w:hAnsi="Verdana" w:cs="Arial"/>
              </w:rPr>
            </w:pPr>
          </w:p>
        </w:tc>
      </w:tr>
      <w:tr w:rsidR="00CD459A" w:rsidRPr="00CD459A" w14:paraId="5306674B" w14:textId="77777777" w:rsidTr="003B74CE">
        <w:trPr>
          <w:trHeight w:hRule="exact" w:val="310"/>
        </w:trPr>
        <w:tc>
          <w:tcPr>
            <w:tcW w:w="1835" w:type="dxa"/>
            <w:tcBorders>
              <w:top w:val="single" w:sz="4" w:space="0" w:color="000000"/>
              <w:left w:val="single" w:sz="4" w:space="0" w:color="000000"/>
              <w:bottom w:val="single" w:sz="4" w:space="0" w:color="000000"/>
              <w:right w:val="single" w:sz="4" w:space="0" w:color="000000"/>
            </w:tcBorders>
            <w:shd w:val="clear" w:color="auto" w:fill="auto"/>
          </w:tcPr>
          <w:p w14:paraId="37D80111"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3147" w:type="dxa"/>
            <w:tcBorders>
              <w:top w:val="single" w:sz="4" w:space="0" w:color="000000"/>
              <w:left w:val="single" w:sz="4" w:space="0" w:color="000000"/>
              <w:bottom w:val="single" w:sz="4" w:space="0" w:color="000000"/>
              <w:right w:val="single" w:sz="4" w:space="0" w:color="000000"/>
            </w:tcBorders>
            <w:shd w:val="clear" w:color="auto" w:fill="auto"/>
          </w:tcPr>
          <w:p w14:paraId="74ADC868"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PRÉSTAMOS POR</w:t>
            </w:r>
            <w:r w:rsidRPr="00CD459A">
              <w:rPr>
                <w:rFonts w:ascii="Verdana" w:hAnsi="Verdana" w:cs="Arial"/>
                <w:spacing w:val="-8"/>
              </w:rPr>
              <w:t xml:space="preserve"> </w:t>
            </w:r>
            <w:r w:rsidRPr="00CD459A">
              <w:rPr>
                <w:rFonts w:ascii="Verdana" w:hAnsi="Verdana" w:cs="Arial"/>
              </w:rPr>
              <w:t>COBRAR</w:t>
            </w:r>
          </w:p>
        </w:tc>
        <w:tc>
          <w:tcPr>
            <w:tcW w:w="3225" w:type="dxa"/>
            <w:tcBorders>
              <w:top w:val="single" w:sz="4" w:space="0" w:color="000000"/>
              <w:left w:val="single" w:sz="4" w:space="0" w:color="000000"/>
              <w:bottom w:val="single" w:sz="4" w:space="0" w:color="000000"/>
              <w:right w:val="single" w:sz="4" w:space="0" w:color="000000"/>
            </w:tcBorders>
            <w:shd w:val="clear" w:color="auto" w:fill="auto"/>
          </w:tcPr>
          <w:p w14:paraId="49EE38D0" w14:textId="77777777" w:rsidR="007C7EF4" w:rsidRPr="00CD459A" w:rsidRDefault="007C7EF4" w:rsidP="003B74CE">
            <w:pPr>
              <w:jc w:val="both"/>
              <w:rPr>
                <w:rFonts w:ascii="Verdana" w:hAnsi="Verdana" w:cs="Arial"/>
              </w:rPr>
            </w:pPr>
          </w:p>
        </w:tc>
      </w:tr>
    </w:tbl>
    <w:p w14:paraId="37B57905" w14:textId="77777777" w:rsidR="007C7EF4" w:rsidRPr="00CD459A" w:rsidRDefault="007C7EF4" w:rsidP="007C7EF4">
      <w:pPr>
        <w:suppressLineNumbers/>
        <w:tabs>
          <w:tab w:val="left" w:pos="-720"/>
        </w:tabs>
        <w:ind w:right="51"/>
        <w:jc w:val="both"/>
        <w:rPr>
          <w:rFonts w:ascii="Verdana" w:hAnsi="Verdana" w:cs="Arial"/>
        </w:rPr>
      </w:pPr>
    </w:p>
    <w:p w14:paraId="47F08750"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6B6A0D7E" w14:textId="77777777" w:rsidR="007C7EF4" w:rsidRPr="00CD459A" w:rsidRDefault="007C7EF4" w:rsidP="007C7EF4">
      <w:pPr>
        <w:pStyle w:val="Textoindependiente"/>
        <w:ind w:right="246"/>
        <w:rPr>
          <w:rFonts w:ascii="Verdana" w:hAnsi="Verdana" w:cs="Arial"/>
          <w:sz w:val="22"/>
          <w:szCs w:val="22"/>
        </w:rPr>
      </w:pPr>
      <w:r w:rsidRPr="00CD459A">
        <w:rPr>
          <w:rFonts w:ascii="Verdana" w:hAnsi="Verdana" w:cs="Arial"/>
          <w:sz w:val="22"/>
          <w:szCs w:val="22"/>
        </w:rPr>
        <w:t>En esta denominación, se incluyen las cuentas que representan los recursos financieros que la entidad destina para el uso por parte de un tercero, de los cuales se espere, a futuro, la entrada de un flujo financiero fijo o determinable, a través de efectivo, equivalentes al efectivo u otro instrumento</w:t>
      </w:r>
      <w:r w:rsidRPr="00CD459A">
        <w:rPr>
          <w:rFonts w:ascii="Verdana" w:hAnsi="Verdana" w:cs="Arial"/>
          <w:spacing w:val="-7"/>
          <w:sz w:val="22"/>
          <w:szCs w:val="22"/>
        </w:rPr>
        <w:t xml:space="preserve"> </w:t>
      </w:r>
      <w:r w:rsidRPr="00CD459A">
        <w:rPr>
          <w:rFonts w:ascii="Verdana" w:hAnsi="Verdana" w:cs="Arial"/>
          <w:sz w:val="22"/>
          <w:szCs w:val="22"/>
        </w:rPr>
        <w:t>financiero.</w:t>
      </w:r>
    </w:p>
    <w:p w14:paraId="5E949115" w14:textId="77777777" w:rsidR="007C7EF4" w:rsidRPr="00CD459A" w:rsidRDefault="007C7EF4" w:rsidP="007C7EF4">
      <w:pPr>
        <w:suppressLineNumbers/>
        <w:tabs>
          <w:tab w:val="left" w:pos="-720"/>
        </w:tabs>
        <w:ind w:right="51"/>
        <w:jc w:val="both"/>
        <w:rPr>
          <w:rFonts w:ascii="Verdana" w:hAnsi="Verdana" w:cs="Arial"/>
        </w:rPr>
      </w:pPr>
    </w:p>
    <w:p w14:paraId="048ECBA4" w14:textId="77777777" w:rsidR="007C7EF4" w:rsidRPr="00CD459A" w:rsidRDefault="007C7EF4" w:rsidP="007C7EF4">
      <w:pPr>
        <w:suppressLineNumbers/>
        <w:tabs>
          <w:tab w:val="left" w:pos="-720"/>
        </w:tabs>
        <w:ind w:right="51"/>
        <w:jc w:val="both"/>
        <w:rPr>
          <w:rFonts w:ascii="Verdana" w:hAnsi="Verdana" w:cs="Arial"/>
        </w:rPr>
      </w:pPr>
      <w:r w:rsidRPr="00CD459A">
        <w:rPr>
          <w:rFonts w:ascii="Verdana" w:hAnsi="Verdana" w:cs="Arial"/>
        </w:rPr>
        <w:t>OBJETIVO</w:t>
      </w:r>
    </w:p>
    <w:p w14:paraId="7722A19B"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Definir los lineamientos que se deben tener en cuenta para el reconocimiento, medición, revelación y presentación de los préstamos por cobrar en los Estados Financieros del Sistema General de Regalias.</w:t>
      </w:r>
    </w:p>
    <w:p w14:paraId="069EAE60" w14:textId="77777777" w:rsidR="007C7EF4" w:rsidRPr="00CD459A" w:rsidRDefault="007C7EF4" w:rsidP="007C7EF4">
      <w:pPr>
        <w:suppressLineNumbers/>
        <w:tabs>
          <w:tab w:val="left" w:pos="-720"/>
        </w:tabs>
        <w:ind w:right="51"/>
        <w:jc w:val="both"/>
        <w:rPr>
          <w:rFonts w:ascii="Verdana" w:hAnsi="Verdana" w:cs="Arial"/>
          <w:lang w:val="es-ES_tradnl" w:eastAsia="es-CO"/>
        </w:rPr>
      </w:pPr>
    </w:p>
    <w:p w14:paraId="221FC2F1" w14:textId="5E5643F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ALCANCE</w:t>
      </w:r>
    </w:p>
    <w:p w14:paraId="37865A50"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Esta política se aplicará en la contabilización de los préstamos por cobrar a cargo del SGR.</w:t>
      </w:r>
    </w:p>
    <w:p w14:paraId="58122B70" w14:textId="77777777" w:rsidR="007C7EF4" w:rsidRPr="00CD459A" w:rsidRDefault="007C7EF4" w:rsidP="007C7EF4">
      <w:pPr>
        <w:suppressLineNumbers/>
        <w:tabs>
          <w:tab w:val="left" w:pos="-720"/>
        </w:tabs>
        <w:ind w:right="51"/>
        <w:jc w:val="both"/>
        <w:rPr>
          <w:rFonts w:ascii="Verdana" w:hAnsi="Verdana" w:cs="Arial"/>
          <w:lang w:val="es-ES_tradnl" w:eastAsia="es-CO"/>
        </w:rPr>
      </w:pPr>
      <w:bookmarkStart w:id="769" w:name="_Toc515549399"/>
      <w:bookmarkStart w:id="770" w:name="_Toc515549793"/>
      <w:bookmarkStart w:id="771" w:name="_Toc520127263"/>
      <w:bookmarkStart w:id="772" w:name="_Toc529890331"/>
      <w:r w:rsidRPr="00CD459A">
        <w:rPr>
          <w:rFonts w:ascii="Verdana" w:hAnsi="Verdana" w:cs="Arial"/>
          <w:lang w:val="es-ES_tradnl" w:eastAsia="es-CO"/>
        </w:rPr>
        <w:t>REFERENCIA A MARCO NORMATIVO DE ENTIDADES DE GOBIERNO</w:t>
      </w:r>
      <w:bookmarkEnd w:id="769"/>
      <w:bookmarkEnd w:id="770"/>
      <w:bookmarkEnd w:id="771"/>
      <w:bookmarkEnd w:id="772"/>
      <w:r w:rsidRPr="00CD459A">
        <w:rPr>
          <w:rFonts w:ascii="Verdana" w:hAnsi="Verdana" w:cs="Arial"/>
          <w:lang w:val="es-ES_tradnl" w:eastAsia="es-CO"/>
        </w:rPr>
        <w:t xml:space="preserve"> </w:t>
      </w:r>
    </w:p>
    <w:tbl>
      <w:tblPr>
        <w:tblW w:w="0" w:type="auto"/>
        <w:jc w:val="center"/>
        <w:tblBorders>
          <w:bottom w:val="single" w:sz="12" w:space="0" w:color="000000"/>
        </w:tblBorders>
        <w:tblLook w:val="0420" w:firstRow="1" w:lastRow="0" w:firstColumn="0" w:lastColumn="0" w:noHBand="0" w:noVBand="1"/>
      </w:tblPr>
      <w:tblGrid>
        <w:gridCol w:w="4674"/>
        <w:gridCol w:w="4164"/>
      </w:tblGrid>
      <w:tr w:rsidR="00CD459A" w:rsidRPr="00CD459A" w14:paraId="6602A2F6" w14:textId="77777777" w:rsidTr="00355F8E">
        <w:trPr>
          <w:jc w:val="center"/>
        </w:trPr>
        <w:tc>
          <w:tcPr>
            <w:tcW w:w="4674" w:type="dxa"/>
            <w:tcBorders>
              <w:bottom w:val="single" w:sz="12" w:space="0" w:color="000000"/>
            </w:tcBorders>
            <w:shd w:val="solid" w:color="2F5395" w:fill="FFFFFF"/>
            <w:vAlign w:val="center"/>
          </w:tcPr>
          <w:p w14:paraId="0143FA96"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164" w:type="dxa"/>
            <w:tcBorders>
              <w:bottom w:val="single" w:sz="12" w:space="0" w:color="000000"/>
            </w:tcBorders>
            <w:shd w:val="solid" w:color="2F5395" w:fill="FFFFFF"/>
            <w:vAlign w:val="center"/>
          </w:tcPr>
          <w:p w14:paraId="27F1101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1E5DFEC9" w14:textId="77777777" w:rsidTr="00355F8E">
        <w:trPr>
          <w:jc w:val="center"/>
        </w:trPr>
        <w:tc>
          <w:tcPr>
            <w:tcW w:w="4674" w:type="dxa"/>
            <w:tcBorders>
              <w:top w:val="single" w:sz="12" w:space="0" w:color="000000"/>
              <w:bottom w:val="nil"/>
            </w:tcBorders>
            <w:shd w:val="pct20" w:color="FFFFFF" w:fill="FFFFFF"/>
            <w:vAlign w:val="center"/>
          </w:tcPr>
          <w:p w14:paraId="0E329897" w14:textId="77777777" w:rsidR="007C7EF4" w:rsidRPr="00CD459A" w:rsidRDefault="007C7EF4" w:rsidP="00AB3D96">
            <w:pPr>
              <w:numPr>
                <w:ilvl w:val="0"/>
                <w:numId w:val="92"/>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164" w:type="dxa"/>
            <w:tcBorders>
              <w:top w:val="single" w:sz="12" w:space="0" w:color="000000"/>
              <w:bottom w:val="nil"/>
            </w:tcBorders>
            <w:shd w:val="pct20" w:color="FFFFFF" w:fill="FFFFFF"/>
            <w:vAlign w:val="center"/>
          </w:tcPr>
          <w:p w14:paraId="46149326"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Grupo 14 – Préstamos por Cobrar </w:t>
            </w:r>
          </w:p>
        </w:tc>
      </w:tr>
      <w:tr w:rsidR="00CD459A" w:rsidRPr="00CD459A" w14:paraId="23DDA1AC" w14:textId="77777777" w:rsidTr="00355F8E">
        <w:trPr>
          <w:jc w:val="center"/>
        </w:trPr>
        <w:tc>
          <w:tcPr>
            <w:tcW w:w="4674" w:type="dxa"/>
            <w:tcBorders>
              <w:bottom w:val="single" w:sz="12" w:space="0" w:color="000000"/>
            </w:tcBorders>
            <w:shd w:val="pct20" w:color="FFFFFF" w:fill="FFFFFF"/>
            <w:vAlign w:val="center"/>
          </w:tcPr>
          <w:p w14:paraId="170420AA" w14:textId="77777777" w:rsidR="007C7EF4" w:rsidRPr="00CD459A" w:rsidRDefault="007C7EF4" w:rsidP="00AB3D96">
            <w:pPr>
              <w:numPr>
                <w:ilvl w:val="0"/>
                <w:numId w:val="92"/>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164" w:type="dxa"/>
            <w:tcBorders>
              <w:bottom w:val="single" w:sz="12" w:space="0" w:color="000000"/>
            </w:tcBorders>
            <w:shd w:val="pct20" w:color="FFFFFF" w:fill="FFFFFF"/>
            <w:vAlign w:val="center"/>
          </w:tcPr>
          <w:p w14:paraId="1465E3B7"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Capítulo I / Numeral 3. Préstamos por Cobrar</w:t>
            </w:r>
          </w:p>
        </w:tc>
      </w:tr>
    </w:tbl>
    <w:p w14:paraId="08901430" w14:textId="77777777" w:rsidR="007C7EF4" w:rsidRPr="00CD459A" w:rsidRDefault="007C7EF4" w:rsidP="007C7EF4">
      <w:pPr>
        <w:suppressLineNumbers/>
        <w:tabs>
          <w:tab w:val="left" w:pos="-720"/>
        </w:tabs>
        <w:ind w:right="51"/>
        <w:jc w:val="both"/>
        <w:rPr>
          <w:rFonts w:ascii="Verdana" w:hAnsi="Verdana" w:cs="Arial"/>
        </w:rPr>
      </w:pPr>
    </w:p>
    <w:p w14:paraId="1A631A9B" w14:textId="77777777" w:rsidR="007C7EF4" w:rsidRPr="00CD459A" w:rsidRDefault="007C7EF4" w:rsidP="007C7EF4">
      <w:pPr>
        <w:jc w:val="both"/>
        <w:rPr>
          <w:rFonts w:ascii="Verdana" w:hAnsi="Verdana" w:cs="Arial"/>
          <w:lang w:val="es-ES_tradnl" w:eastAsia="es-CO"/>
        </w:rPr>
      </w:pPr>
      <w:bookmarkStart w:id="773" w:name="_Toc515549400"/>
      <w:bookmarkStart w:id="774" w:name="_Toc515549794"/>
      <w:bookmarkStart w:id="775" w:name="_Toc520127264"/>
      <w:bookmarkStart w:id="776" w:name="_Toc529890332"/>
      <w:r w:rsidRPr="00CD459A">
        <w:rPr>
          <w:rFonts w:ascii="Verdana" w:hAnsi="Verdana" w:cs="Arial"/>
          <w:lang w:val="es-ES_tradnl" w:eastAsia="es-CO"/>
        </w:rPr>
        <w:t>ÁREAS O PROCESOS INVOLUCRADOS EN LA APLICACIÓN DE LA POLÍTICA</w:t>
      </w:r>
      <w:bookmarkEnd w:id="773"/>
      <w:bookmarkEnd w:id="774"/>
      <w:bookmarkEnd w:id="775"/>
      <w:bookmarkEnd w:id="776"/>
      <w:r w:rsidRPr="00CD459A">
        <w:rPr>
          <w:rFonts w:ascii="Verdana" w:hAnsi="Verdana" w:cs="Arial"/>
          <w:lang w:val="es-ES_tradnl" w:eastAsia="es-CO"/>
        </w:rPr>
        <w:t xml:space="preserve"> </w:t>
      </w:r>
    </w:p>
    <w:p w14:paraId="14F16D7D"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0D020172" w14:textId="77777777" w:rsidR="007C7EF4" w:rsidRPr="00CD459A" w:rsidRDefault="007C7EF4" w:rsidP="007C7EF4">
      <w:pPr>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3319"/>
        <w:gridCol w:w="5519"/>
      </w:tblGrid>
      <w:tr w:rsidR="00CD459A" w:rsidRPr="00CD459A" w14:paraId="35D6C999" w14:textId="77777777" w:rsidTr="003B74CE">
        <w:trPr>
          <w:tblHeader/>
          <w:jc w:val="center"/>
        </w:trPr>
        <w:tc>
          <w:tcPr>
            <w:tcW w:w="3369" w:type="dxa"/>
            <w:tcBorders>
              <w:bottom w:val="single" w:sz="12" w:space="0" w:color="000000"/>
            </w:tcBorders>
            <w:shd w:val="solid" w:color="2F5395" w:fill="FFFFFF"/>
            <w:vAlign w:val="center"/>
          </w:tcPr>
          <w:p w14:paraId="20FE2C43"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611" w:type="dxa"/>
            <w:tcBorders>
              <w:bottom w:val="single" w:sz="12" w:space="0" w:color="000000"/>
            </w:tcBorders>
            <w:shd w:val="solid" w:color="2F5395" w:fill="FFFFFF"/>
            <w:vAlign w:val="center"/>
          </w:tcPr>
          <w:p w14:paraId="51F4C282"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3B64B021" w14:textId="77777777" w:rsidTr="003B74CE">
        <w:trPr>
          <w:trHeight w:val="474"/>
          <w:jc w:val="center"/>
        </w:trPr>
        <w:tc>
          <w:tcPr>
            <w:tcW w:w="3369" w:type="dxa"/>
            <w:tcBorders>
              <w:top w:val="single" w:sz="12" w:space="0" w:color="000000"/>
              <w:bottom w:val="single" w:sz="12" w:space="0" w:color="000000"/>
            </w:tcBorders>
            <w:shd w:val="pct20" w:color="FFFFFF" w:fill="FFFFFF"/>
            <w:vAlign w:val="center"/>
          </w:tcPr>
          <w:p w14:paraId="0C00BA4B"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Grupo de Mesa de Dinero </w:t>
            </w:r>
          </w:p>
        </w:tc>
        <w:tc>
          <w:tcPr>
            <w:tcW w:w="5611" w:type="dxa"/>
            <w:tcBorders>
              <w:top w:val="single" w:sz="12" w:space="0" w:color="000000"/>
              <w:bottom w:val="single" w:sz="12" w:space="0" w:color="000000"/>
            </w:tcBorders>
            <w:shd w:val="pct20" w:color="FFFFFF" w:fill="FFFFFF"/>
            <w:vAlign w:val="center"/>
          </w:tcPr>
          <w:p w14:paraId="12F77C35"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Suministrar el detalle de las operaciones y/o inversiones realizadas con los excedentes de liquidez del SGR.</w:t>
            </w:r>
          </w:p>
        </w:tc>
      </w:tr>
      <w:tr w:rsidR="00CD459A" w:rsidRPr="00CD459A" w14:paraId="687D1969" w14:textId="77777777" w:rsidTr="003B74CE">
        <w:trPr>
          <w:jc w:val="center"/>
        </w:trPr>
        <w:tc>
          <w:tcPr>
            <w:tcW w:w="3369" w:type="dxa"/>
            <w:tcBorders>
              <w:top w:val="single" w:sz="12" w:space="0" w:color="000000"/>
              <w:bottom w:val="single" w:sz="12" w:space="0" w:color="000000"/>
            </w:tcBorders>
            <w:shd w:val="pct20" w:color="FFFFFF" w:fill="FFFFFF"/>
            <w:vAlign w:val="center"/>
          </w:tcPr>
          <w:p w14:paraId="20C5C8A4"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Grupo de Contabilidad</w:t>
            </w:r>
          </w:p>
        </w:tc>
        <w:tc>
          <w:tcPr>
            <w:tcW w:w="5611" w:type="dxa"/>
            <w:tcBorders>
              <w:top w:val="single" w:sz="12" w:space="0" w:color="000000"/>
              <w:bottom w:val="single" w:sz="12" w:space="0" w:color="000000"/>
            </w:tcBorders>
            <w:shd w:val="pct20" w:color="FFFFFF" w:fill="FFFFFF"/>
            <w:vAlign w:val="center"/>
          </w:tcPr>
          <w:p w14:paraId="5EAF0F92"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Recibir la información suministrada por el grupo de Mesa de Dinero la cual gestiona los préstamos a favor del SGR, para su correspondiente registro y revelación en los Estados Financieros del SGR. </w:t>
            </w:r>
          </w:p>
          <w:p w14:paraId="7CF545A1"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Llevar a cabo el proceso de conciliación de los préstamos por cobrar</w:t>
            </w:r>
          </w:p>
        </w:tc>
      </w:tr>
    </w:tbl>
    <w:p w14:paraId="2244CEF4" w14:textId="77777777" w:rsidR="007C7EF4" w:rsidRPr="00CD459A" w:rsidRDefault="007C7EF4" w:rsidP="007C7EF4">
      <w:pPr>
        <w:suppressLineNumbers/>
        <w:tabs>
          <w:tab w:val="left" w:pos="-720"/>
        </w:tabs>
        <w:ind w:right="51"/>
        <w:jc w:val="both"/>
        <w:rPr>
          <w:rFonts w:ascii="Verdana" w:hAnsi="Verdana" w:cs="Arial"/>
        </w:rPr>
      </w:pPr>
    </w:p>
    <w:tbl>
      <w:tblPr>
        <w:tblW w:w="8787" w:type="dxa"/>
        <w:tblInd w:w="129" w:type="dxa"/>
        <w:tblLayout w:type="fixed"/>
        <w:tblCellMar>
          <w:left w:w="127" w:type="dxa"/>
          <w:right w:w="127" w:type="dxa"/>
        </w:tblCellMar>
        <w:tblLook w:val="0000" w:firstRow="0" w:lastRow="0" w:firstColumn="0" w:lastColumn="0" w:noHBand="0" w:noVBand="0"/>
      </w:tblPr>
      <w:tblGrid>
        <w:gridCol w:w="1983"/>
        <w:gridCol w:w="2268"/>
        <w:gridCol w:w="4536"/>
      </w:tblGrid>
      <w:tr w:rsidR="00CD459A" w:rsidRPr="00CD459A" w14:paraId="7784C364" w14:textId="77777777" w:rsidTr="00355F8E">
        <w:trPr>
          <w:cantSplit/>
        </w:trPr>
        <w:tc>
          <w:tcPr>
            <w:tcW w:w="1983" w:type="dxa"/>
            <w:tcBorders>
              <w:top w:val="single" w:sz="6" w:space="0" w:color="auto"/>
              <w:left w:val="single" w:sz="6" w:space="0" w:color="auto"/>
            </w:tcBorders>
          </w:tcPr>
          <w:p w14:paraId="32056441"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2268" w:type="dxa"/>
            <w:tcBorders>
              <w:top w:val="single" w:sz="6" w:space="0" w:color="auto"/>
              <w:left w:val="single" w:sz="6" w:space="0" w:color="auto"/>
            </w:tcBorders>
          </w:tcPr>
          <w:p w14:paraId="13E3D3DA"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4536" w:type="dxa"/>
            <w:tcBorders>
              <w:top w:val="single" w:sz="6" w:space="0" w:color="auto"/>
              <w:left w:val="single" w:sz="6" w:space="0" w:color="auto"/>
              <w:right w:val="single" w:sz="6" w:space="0" w:color="auto"/>
            </w:tcBorders>
          </w:tcPr>
          <w:p w14:paraId="26431B8D"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0B653FD0" w14:textId="77777777" w:rsidTr="00355F8E">
        <w:trPr>
          <w:cantSplit/>
        </w:trPr>
        <w:tc>
          <w:tcPr>
            <w:tcW w:w="1983" w:type="dxa"/>
            <w:tcBorders>
              <w:top w:val="single" w:sz="6" w:space="0" w:color="auto"/>
              <w:left w:val="single" w:sz="6" w:space="0" w:color="auto"/>
              <w:bottom w:val="single" w:sz="6" w:space="0" w:color="auto"/>
            </w:tcBorders>
          </w:tcPr>
          <w:p w14:paraId="3B48C4FF"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w:t>
            </w:r>
          </w:p>
        </w:tc>
        <w:tc>
          <w:tcPr>
            <w:tcW w:w="2268" w:type="dxa"/>
            <w:tcBorders>
              <w:top w:val="single" w:sz="6" w:space="0" w:color="auto"/>
              <w:left w:val="single" w:sz="6" w:space="0" w:color="auto"/>
              <w:bottom w:val="single" w:sz="6" w:space="0" w:color="auto"/>
              <w:right w:val="single" w:sz="6" w:space="0" w:color="auto"/>
            </w:tcBorders>
          </w:tcPr>
          <w:p w14:paraId="71BA333D"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14</w:t>
            </w:r>
          </w:p>
        </w:tc>
        <w:tc>
          <w:tcPr>
            <w:tcW w:w="4536" w:type="dxa"/>
            <w:tcBorders>
              <w:top w:val="single" w:sz="6" w:space="0" w:color="auto"/>
              <w:bottom w:val="single" w:sz="6" w:space="0" w:color="auto"/>
              <w:right w:val="single" w:sz="6" w:space="0" w:color="auto"/>
            </w:tcBorders>
            <w:shd w:val="pct20" w:color="auto" w:fill="auto"/>
          </w:tcPr>
          <w:p w14:paraId="0F4CABB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141642</w:t>
            </w:r>
          </w:p>
        </w:tc>
      </w:tr>
      <w:tr w:rsidR="00CD459A" w:rsidRPr="00CD459A" w14:paraId="556434A2" w14:textId="77777777" w:rsidTr="00355F8E">
        <w:trPr>
          <w:cantSplit/>
          <w:trHeight w:val="461"/>
        </w:trPr>
        <w:tc>
          <w:tcPr>
            <w:tcW w:w="1983" w:type="dxa"/>
            <w:tcBorders>
              <w:left w:val="single" w:sz="6" w:space="0" w:color="auto"/>
              <w:bottom w:val="single" w:sz="6" w:space="0" w:color="auto"/>
            </w:tcBorders>
          </w:tcPr>
          <w:p w14:paraId="464DD359"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ACTIVOS</w:t>
            </w:r>
          </w:p>
        </w:tc>
        <w:tc>
          <w:tcPr>
            <w:tcW w:w="2268" w:type="dxa"/>
            <w:tcBorders>
              <w:left w:val="single" w:sz="6" w:space="0" w:color="auto"/>
              <w:bottom w:val="single" w:sz="6" w:space="0" w:color="auto"/>
            </w:tcBorders>
          </w:tcPr>
          <w:p w14:paraId="32B1CD6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PRÉSTAMOS POR COBRAR</w:t>
            </w:r>
          </w:p>
        </w:tc>
        <w:tc>
          <w:tcPr>
            <w:tcW w:w="4536" w:type="dxa"/>
            <w:tcBorders>
              <w:left w:val="single" w:sz="6" w:space="0" w:color="auto"/>
              <w:bottom w:val="single" w:sz="6" w:space="0" w:color="auto"/>
              <w:right w:val="single" w:sz="6" w:space="0" w:color="auto"/>
            </w:tcBorders>
            <w:shd w:val="pct20" w:color="auto" w:fill="auto"/>
          </w:tcPr>
          <w:p w14:paraId="6A22D577"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 xml:space="preserve">Créditos de tesorería al gobierno general </w:t>
            </w:r>
          </w:p>
        </w:tc>
      </w:tr>
    </w:tbl>
    <w:p w14:paraId="0044151B" w14:textId="77777777" w:rsidR="007C7EF4" w:rsidRPr="00CD459A" w:rsidRDefault="007C7EF4" w:rsidP="007C7EF4">
      <w:pPr>
        <w:suppressLineNumbers/>
        <w:tabs>
          <w:tab w:val="left" w:pos="-720"/>
        </w:tabs>
        <w:ind w:right="51"/>
        <w:jc w:val="both"/>
        <w:rPr>
          <w:rFonts w:ascii="Verdana" w:hAnsi="Verdana" w:cs="Arial"/>
        </w:rPr>
      </w:pPr>
    </w:p>
    <w:p w14:paraId="4EEA4FA6" w14:textId="77777777" w:rsidR="007C7EF4" w:rsidRPr="00CD459A" w:rsidRDefault="007C7EF4" w:rsidP="007C7EF4">
      <w:pPr>
        <w:suppressLineNumbers/>
        <w:tabs>
          <w:tab w:val="left" w:pos="-720"/>
          <w:tab w:val="left" w:pos="1134"/>
        </w:tabs>
        <w:ind w:right="51"/>
        <w:jc w:val="both"/>
        <w:rPr>
          <w:rFonts w:ascii="Verdana" w:hAnsi="Verdana" w:cs="Arial"/>
        </w:rPr>
      </w:pPr>
      <w:r w:rsidRPr="00CD459A">
        <w:rPr>
          <w:rFonts w:ascii="Verdana" w:hAnsi="Verdana" w:cs="Arial"/>
        </w:rPr>
        <w:t>DESCRIPCIÓN</w:t>
      </w:r>
    </w:p>
    <w:p w14:paraId="775745D9" w14:textId="77777777" w:rsidR="007C7EF4" w:rsidRPr="00CD459A" w:rsidRDefault="007C7EF4" w:rsidP="007C7EF4">
      <w:pPr>
        <w:pStyle w:val="Textoindependiente"/>
        <w:ind w:right="51"/>
        <w:rPr>
          <w:rFonts w:ascii="Verdana" w:eastAsia="Calibri" w:hAnsi="Verdana" w:cs="Arial"/>
          <w:sz w:val="22"/>
          <w:szCs w:val="22"/>
          <w:lang w:eastAsia="en-US"/>
        </w:rPr>
      </w:pPr>
      <w:r w:rsidRPr="00CD459A">
        <w:rPr>
          <w:rFonts w:ascii="Verdana" w:eastAsia="Calibri" w:hAnsi="Verdana" w:cs="Arial"/>
          <w:sz w:val="22"/>
          <w:szCs w:val="22"/>
          <w:lang w:eastAsia="en-US"/>
        </w:rPr>
        <w:t xml:space="preserve">Los créditos de tesorería al gobierno general corresponden a los Pagarés emitidos por la DGCPTN a nombre del Sistema General de Regalías con el propósito de obtener rendimientos provenientes de los flujos contractuales del título durante su vigencia. Las condiciones en cuanto a vigencia y tasas se definen desde la emisión del título y son inmodificables, en condiciones normales se redimen la fecha de vencimiento con el traslado a la cuenta única de Sistema General de Regalías del capital más los rendimientos generados durante la vigencia a la tasa de interés pactada. De acuerdo con el marco normativo para entidades de gobierno, dadas las condiciones antes enunciadas los depósitos remunerados se deben valorar y reflejar en los estados contables del Sistema General de Regalías a costo amortizado.   </w:t>
      </w:r>
    </w:p>
    <w:p w14:paraId="6A1F7F2E" w14:textId="77777777" w:rsidR="007C7EF4" w:rsidRPr="00CD459A" w:rsidRDefault="007C7EF4" w:rsidP="007C7EF4">
      <w:pPr>
        <w:pStyle w:val="Textoindependiente"/>
        <w:rPr>
          <w:rFonts w:ascii="Verdana" w:eastAsia="Calibri" w:hAnsi="Verdana" w:cs="Arial"/>
          <w:sz w:val="22"/>
          <w:szCs w:val="22"/>
          <w:lang w:eastAsia="en-US"/>
        </w:rPr>
      </w:pPr>
    </w:p>
    <w:p w14:paraId="555EF089"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MEDICIÓN INICIAL</w:t>
      </w:r>
    </w:p>
    <w:p w14:paraId="363E9608"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ab/>
      </w:r>
    </w:p>
    <w:p w14:paraId="1A0E77B7"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En el momento de la emisión, los Pagarés emitidos por la DGCPTN se deben reconocer y reflejar contablemente a valor de mercado, que corresponde al valor en pesos debitado de la cuenta única del Sistema General de Regalias.</w:t>
      </w:r>
    </w:p>
    <w:p w14:paraId="381373E8"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ab/>
      </w:r>
    </w:p>
    <w:p w14:paraId="5D526F9C" w14:textId="77777777" w:rsidR="007C7EF4" w:rsidRPr="00CD459A" w:rsidRDefault="007C7EF4" w:rsidP="007C7EF4">
      <w:pPr>
        <w:pStyle w:val="Textoindependiente"/>
        <w:rPr>
          <w:rFonts w:ascii="Verdana" w:eastAsia="Calibri" w:hAnsi="Verdana" w:cs="Arial"/>
          <w:sz w:val="22"/>
          <w:szCs w:val="22"/>
          <w:lang w:eastAsia="en-US"/>
        </w:rPr>
      </w:pPr>
      <w:r w:rsidRPr="00CD459A">
        <w:rPr>
          <w:rFonts w:ascii="Verdana" w:eastAsia="Calibri" w:hAnsi="Verdana" w:cs="Arial"/>
          <w:sz w:val="22"/>
          <w:szCs w:val="22"/>
          <w:lang w:eastAsia="en-US"/>
        </w:rPr>
        <w:t xml:space="preserve">MEDICIÓN POSTERIOR </w:t>
      </w:r>
    </w:p>
    <w:p w14:paraId="3E9095D4" w14:textId="77777777" w:rsidR="007C7EF4" w:rsidRPr="00CD459A" w:rsidRDefault="007C7EF4" w:rsidP="007C7EF4">
      <w:pPr>
        <w:pStyle w:val="Textoindependiente"/>
        <w:rPr>
          <w:rFonts w:ascii="Verdana" w:eastAsia="Calibri" w:hAnsi="Verdana" w:cs="Arial"/>
          <w:sz w:val="22"/>
          <w:szCs w:val="22"/>
          <w:lang w:eastAsia="en-US"/>
        </w:rPr>
      </w:pPr>
    </w:p>
    <w:p w14:paraId="4BD0BDE8" w14:textId="77777777" w:rsidR="007C7EF4" w:rsidRPr="00CD459A" w:rsidRDefault="007C7EF4" w:rsidP="007C7EF4">
      <w:pPr>
        <w:autoSpaceDE w:val="0"/>
        <w:autoSpaceDN w:val="0"/>
        <w:adjustRightInd w:val="0"/>
        <w:contextualSpacing/>
        <w:jc w:val="both"/>
        <w:rPr>
          <w:rFonts w:ascii="Verdana" w:eastAsia="Calibri" w:hAnsi="Verdana" w:cs="Arial"/>
        </w:rPr>
      </w:pPr>
      <w:r w:rsidRPr="00CD459A">
        <w:rPr>
          <w:rFonts w:ascii="Verdana" w:eastAsia="Calibri" w:hAnsi="Verdana" w:cs="Arial"/>
        </w:rPr>
        <w:t>Con posterioridad al reconocimiento, las inversiones clasificadas en la categoría de costo amortizado se medirán al costo amortizado.</w:t>
      </w:r>
    </w:p>
    <w:p w14:paraId="22124998" w14:textId="77777777" w:rsidR="007C7EF4" w:rsidRPr="00CD459A" w:rsidRDefault="007C7EF4" w:rsidP="007C7EF4">
      <w:pPr>
        <w:autoSpaceDE w:val="0"/>
        <w:autoSpaceDN w:val="0"/>
        <w:adjustRightInd w:val="0"/>
        <w:contextualSpacing/>
        <w:jc w:val="both"/>
        <w:rPr>
          <w:rFonts w:ascii="Verdana" w:eastAsia="Calibri" w:hAnsi="Verdana" w:cs="Arial"/>
        </w:rPr>
      </w:pPr>
    </w:p>
    <w:p w14:paraId="329E1DAB" w14:textId="77777777" w:rsidR="007C7EF4" w:rsidRPr="00CD459A" w:rsidRDefault="007C7EF4" w:rsidP="007C7EF4">
      <w:pPr>
        <w:autoSpaceDE w:val="0"/>
        <w:autoSpaceDN w:val="0"/>
        <w:adjustRightInd w:val="0"/>
        <w:contextualSpacing/>
        <w:jc w:val="both"/>
        <w:rPr>
          <w:rFonts w:ascii="Verdana" w:eastAsia="Calibri" w:hAnsi="Verdana" w:cs="Arial"/>
        </w:rPr>
      </w:pPr>
      <w:r w:rsidRPr="00CD459A">
        <w:rPr>
          <w:rFonts w:ascii="Verdana" w:eastAsia="Calibri" w:hAnsi="Verdana" w:cs="Arial"/>
        </w:rPr>
        <w:t>El costo amortizado corresponde al valor inicialmente reconocido más el rendimiento efectivo, menos los pagos de capital e intereses, menos cualquier disminución por deterioro del valor.</w:t>
      </w:r>
    </w:p>
    <w:p w14:paraId="76E4ED9A" w14:textId="77777777" w:rsidR="007C7EF4" w:rsidRPr="00CD459A" w:rsidRDefault="007C7EF4" w:rsidP="007C7EF4">
      <w:pPr>
        <w:autoSpaceDE w:val="0"/>
        <w:autoSpaceDN w:val="0"/>
        <w:adjustRightInd w:val="0"/>
        <w:contextualSpacing/>
        <w:jc w:val="both"/>
        <w:rPr>
          <w:rFonts w:ascii="Verdana" w:eastAsia="Calibri" w:hAnsi="Verdana" w:cs="Arial"/>
        </w:rPr>
      </w:pPr>
    </w:p>
    <w:p w14:paraId="477C2DE6" w14:textId="77777777" w:rsidR="007C7EF4" w:rsidRPr="00CD459A" w:rsidRDefault="007C7EF4" w:rsidP="007C7EF4">
      <w:pPr>
        <w:autoSpaceDE w:val="0"/>
        <w:autoSpaceDN w:val="0"/>
        <w:adjustRightInd w:val="0"/>
        <w:contextualSpacing/>
        <w:jc w:val="both"/>
        <w:rPr>
          <w:rFonts w:ascii="Verdana" w:eastAsia="Calibri" w:hAnsi="Verdana" w:cs="Arial"/>
        </w:rPr>
      </w:pPr>
      <w:r w:rsidRPr="00CD459A">
        <w:rPr>
          <w:rFonts w:ascii="Verdana" w:eastAsia="Calibri" w:hAnsi="Verdana" w:cs="Arial"/>
        </w:rPr>
        <w:t>El rendimiento efectivo se calculará multiplicando el costo amortizado de la inversión por la tasa de interés efectiva.</w:t>
      </w:r>
    </w:p>
    <w:p w14:paraId="01F99B43" w14:textId="77777777" w:rsidR="007C7EF4" w:rsidRPr="00CD459A" w:rsidRDefault="007C7EF4" w:rsidP="007C7EF4">
      <w:pPr>
        <w:autoSpaceDE w:val="0"/>
        <w:autoSpaceDN w:val="0"/>
        <w:adjustRightInd w:val="0"/>
        <w:contextualSpacing/>
        <w:jc w:val="both"/>
        <w:rPr>
          <w:rFonts w:ascii="Verdana" w:eastAsia="Calibri" w:hAnsi="Verdana" w:cs="Arial"/>
        </w:rPr>
      </w:pPr>
    </w:p>
    <w:p w14:paraId="5FC6107C" w14:textId="77777777" w:rsidR="007C7EF4" w:rsidRPr="00CD459A" w:rsidRDefault="007C7EF4" w:rsidP="007C7EF4">
      <w:pPr>
        <w:autoSpaceDE w:val="0"/>
        <w:autoSpaceDN w:val="0"/>
        <w:adjustRightInd w:val="0"/>
        <w:contextualSpacing/>
        <w:jc w:val="both"/>
        <w:rPr>
          <w:rFonts w:ascii="Verdana" w:eastAsia="Calibri" w:hAnsi="Verdana" w:cs="Arial"/>
        </w:rPr>
      </w:pPr>
      <w:r w:rsidRPr="00CD459A">
        <w:rPr>
          <w:rFonts w:ascii="Verdana" w:eastAsia="Calibri" w:hAnsi="Verdana" w:cs="Arial"/>
        </w:rPr>
        <w:t xml:space="preserve">La tasa de interés efectiva es aquella que hace equivalentes los flujos contractuales del título con su costo amortizado en la fecha de medición. El rendimiento efectivo se reconocerá como un mayor valor de la inversión y como un ingreso en el resultado del periodo. </w:t>
      </w:r>
    </w:p>
    <w:p w14:paraId="4C735943" w14:textId="77777777" w:rsidR="007C7EF4" w:rsidRPr="00CD459A" w:rsidRDefault="007C7EF4" w:rsidP="007C7EF4">
      <w:pPr>
        <w:autoSpaceDE w:val="0"/>
        <w:autoSpaceDN w:val="0"/>
        <w:adjustRightInd w:val="0"/>
        <w:contextualSpacing/>
        <w:jc w:val="both"/>
        <w:rPr>
          <w:rFonts w:ascii="Verdana" w:eastAsia="Calibri" w:hAnsi="Verdana" w:cs="Arial"/>
        </w:rPr>
      </w:pPr>
    </w:p>
    <w:p w14:paraId="0034459F" w14:textId="77777777" w:rsidR="007C7EF4" w:rsidRPr="00CD459A" w:rsidRDefault="007C7EF4" w:rsidP="007C7EF4">
      <w:pPr>
        <w:autoSpaceDE w:val="0"/>
        <w:autoSpaceDN w:val="0"/>
        <w:adjustRightInd w:val="0"/>
        <w:contextualSpacing/>
        <w:jc w:val="both"/>
        <w:rPr>
          <w:rFonts w:ascii="Verdana" w:eastAsia="Calibri" w:hAnsi="Verdana" w:cs="Arial"/>
        </w:rPr>
      </w:pPr>
      <w:r w:rsidRPr="00CD459A">
        <w:rPr>
          <w:rFonts w:ascii="Verdana" w:eastAsia="Calibri" w:hAnsi="Verdana" w:cs="Arial"/>
        </w:rPr>
        <w:t xml:space="preserve">Los rendimientos recibidos reducirán el valor de la inversión, afectando el efectivo o equivalentes al efectivo de acuerdo con la contraprestación recibida. </w:t>
      </w:r>
    </w:p>
    <w:p w14:paraId="1E0711D8" w14:textId="77777777" w:rsidR="007C7EF4" w:rsidRPr="00CD459A" w:rsidRDefault="007C7EF4" w:rsidP="007C7EF4">
      <w:pPr>
        <w:pStyle w:val="Textoindependiente"/>
        <w:contextualSpacing/>
        <w:rPr>
          <w:rFonts w:ascii="Verdana" w:eastAsia="Calibri" w:hAnsi="Verdana" w:cs="Arial"/>
          <w:sz w:val="22"/>
          <w:szCs w:val="22"/>
          <w:lang w:eastAsia="en-US"/>
        </w:rPr>
      </w:pPr>
      <w:r w:rsidRPr="00CD459A">
        <w:rPr>
          <w:rFonts w:ascii="Verdana" w:eastAsia="Calibri" w:hAnsi="Verdana" w:cs="Arial"/>
          <w:sz w:val="22"/>
          <w:szCs w:val="22"/>
          <w:lang w:eastAsia="en-US"/>
        </w:rPr>
        <w:t>Las inversiones de administración de liquidez clasificadas al costo amortizado serán objeto de estimaciones de deterioro, cuando exista evidencia objetiva del incumplimiento de los pagos a cargo del emisor o del desmejoramiento de sus condiciones crediticias.</w:t>
      </w:r>
      <w:r w:rsidRPr="00CD459A">
        <w:rPr>
          <w:rFonts w:ascii="Verdana" w:eastAsia="Calibri" w:hAnsi="Verdana" w:cs="Arial"/>
          <w:sz w:val="22"/>
          <w:szCs w:val="22"/>
          <w:lang w:eastAsia="en-US"/>
        </w:rPr>
        <w:tab/>
      </w:r>
    </w:p>
    <w:p w14:paraId="1044599F" w14:textId="77777777" w:rsidR="007C7EF4" w:rsidRPr="00CD459A" w:rsidRDefault="007C7EF4" w:rsidP="007C7EF4">
      <w:pPr>
        <w:pStyle w:val="Textoindependiente"/>
        <w:ind w:right="-160"/>
        <w:rPr>
          <w:rFonts w:ascii="Verdana" w:hAnsi="Verdana" w:cs="Arial"/>
          <w:sz w:val="22"/>
          <w:szCs w:val="22"/>
        </w:rPr>
      </w:pPr>
    </w:p>
    <w:p w14:paraId="292EED8C"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FUENTE DE INFORMACIÓN </w:t>
      </w:r>
    </w:p>
    <w:p w14:paraId="085BE3F6" w14:textId="77777777" w:rsidR="007C7EF4" w:rsidRPr="00CD459A" w:rsidRDefault="007C7EF4" w:rsidP="007C7EF4">
      <w:pPr>
        <w:pStyle w:val="Textoindependiente"/>
        <w:ind w:right="-160"/>
        <w:rPr>
          <w:rFonts w:ascii="Verdana" w:hAnsi="Verdana" w:cs="Arial"/>
          <w:sz w:val="22"/>
          <w:szCs w:val="22"/>
        </w:rPr>
      </w:pPr>
    </w:p>
    <w:p w14:paraId="48450E83"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El grupo de la Mesa de Dinero remite la información extraída de sistema de portafolio financieros – PORFIN, del periodo determinado. </w:t>
      </w:r>
    </w:p>
    <w:p w14:paraId="1C4A8FA2" w14:textId="77777777" w:rsidR="007C7EF4" w:rsidRPr="00CD459A" w:rsidRDefault="007C7EF4" w:rsidP="007C7EF4">
      <w:pPr>
        <w:pStyle w:val="Textoindependiente"/>
        <w:ind w:right="-160"/>
        <w:rPr>
          <w:rFonts w:ascii="Verdana" w:hAnsi="Verdana" w:cs="Arial"/>
          <w:sz w:val="22"/>
          <w:szCs w:val="22"/>
        </w:rPr>
      </w:pPr>
    </w:p>
    <w:p w14:paraId="7374FDBC"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CONCILIACIÓN </w:t>
      </w:r>
    </w:p>
    <w:p w14:paraId="6A3704DD" w14:textId="77777777" w:rsidR="007C7EF4" w:rsidRPr="00CD459A" w:rsidRDefault="007C7EF4" w:rsidP="007C7EF4">
      <w:pPr>
        <w:pStyle w:val="Textoindependiente"/>
        <w:ind w:right="-160"/>
        <w:rPr>
          <w:rFonts w:ascii="Verdana" w:hAnsi="Verdana" w:cs="Arial"/>
          <w:sz w:val="22"/>
          <w:szCs w:val="22"/>
        </w:rPr>
      </w:pPr>
    </w:p>
    <w:p w14:paraId="5BC27DF5" w14:textId="77777777" w:rsidR="007C7EF4" w:rsidRPr="00CD459A" w:rsidRDefault="007C7EF4" w:rsidP="007C7EF4">
      <w:pPr>
        <w:pStyle w:val="Textoindependiente"/>
        <w:ind w:right="-160"/>
        <w:rPr>
          <w:rFonts w:ascii="Verdana" w:eastAsia="Calibri" w:hAnsi="Verdana" w:cs="Arial"/>
          <w:sz w:val="22"/>
          <w:szCs w:val="22"/>
          <w:lang w:eastAsia="en-US"/>
        </w:rPr>
      </w:pPr>
      <w:r w:rsidRPr="00CD459A">
        <w:rPr>
          <w:rFonts w:ascii="Verdana" w:hAnsi="Verdana" w:cs="Arial"/>
          <w:sz w:val="22"/>
          <w:szCs w:val="22"/>
        </w:rPr>
        <w:t xml:space="preserve">Se compara los saldos contables, frente a la constitución, redención y valoración neta de los </w:t>
      </w:r>
      <w:r w:rsidRPr="00CD459A">
        <w:rPr>
          <w:rFonts w:ascii="Verdana" w:eastAsia="Calibri" w:hAnsi="Verdana" w:cs="Arial"/>
          <w:sz w:val="22"/>
          <w:szCs w:val="22"/>
          <w:lang w:eastAsia="en-US"/>
        </w:rPr>
        <w:t>Pagarés emitidos por la DGCPTN.</w:t>
      </w:r>
    </w:p>
    <w:p w14:paraId="4F66FA84" w14:textId="77777777" w:rsidR="007C7EF4" w:rsidRPr="00CD459A" w:rsidRDefault="007C7EF4" w:rsidP="007C7EF4">
      <w:pPr>
        <w:pStyle w:val="Textoindependiente"/>
        <w:ind w:right="-160"/>
        <w:rPr>
          <w:rFonts w:ascii="Verdana" w:eastAsia="Calibri" w:hAnsi="Verdana" w:cs="Arial"/>
          <w:sz w:val="22"/>
          <w:szCs w:val="22"/>
          <w:lang w:eastAsia="en-US"/>
        </w:rPr>
      </w:pPr>
      <w:r w:rsidRPr="00CD459A">
        <w:rPr>
          <w:rFonts w:ascii="Verdana" w:eastAsia="Calibri" w:hAnsi="Verdana" w:cs="Arial"/>
          <w:sz w:val="22"/>
          <w:szCs w:val="22"/>
          <w:lang w:eastAsia="en-US"/>
        </w:rPr>
        <w:tab/>
      </w:r>
    </w:p>
    <w:p w14:paraId="3CA583FA" w14:textId="77777777" w:rsidR="007C7EF4" w:rsidRPr="00CD459A" w:rsidRDefault="007C7EF4" w:rsidP="007C7EF4">
      <w:pPr>
        <w:pStyle w:val="Textoindependiente"/>
        <w:ind w:right="-160"/>
        <w:rPr>
          <w:rFonts w:ascii="Verdana" w:hAnsi="Verdana" w:cs="Arial"/>
          <w:sz w:val="22"/>
          <w:szCs w:val="22"/>
        </w:rPr>
      </w:pPr>
      <w:r w:rsidRPr="00CD459A">
        <w:rPr>
          <w:rFonts w:ascii="Verdana" w:hAnsi="Verdana" w:cs="Arial"/>
          <w:sz w:val="22"/>
          <w:szCs w:val="22"/>
        </w:rPr>
        <w:t xml:space="preserve">REVELACIONES </w:t>
      </w:r>
    </w:p>
    <w:p w14:paraId="34C4E87C" w14:textId="77777777" w:rsidR="007C7EF4" w:rsidRPr="00CD459A" w:rsidRDefault="007C7EF4" w:rsidP="007C7EF4">
      <w:pPr>
        <w:pStyle w:val="Textoindependiente"/>
        <w:ind w:right="-160"/>
        <w:rPr>
          <w:rFonts w:ascii="Verdana" w:hAnsi="Verdana" w:cs="Arial"/>
          <w:sz w:val="22"/>
          <w:szCs w:val="22"/>
        </w:rPr>
      </w:pPr>
    </w:p>
    <w:p w14:paraId="0117AEA6" w14:textId="77777777" w:rsidR="007C7EF4" w:rsidRPr="00CD459A" w:rsidRDefault="007C7EF4" w:rsidP="007C7EF4">
      <w:pPr>
        <w:pStyle w:val="Default"/>
        <w:jc w:val="both"/>
        <w:rPr>
          <w:rFonts w:ascii="Verdana" w:hAnsi="Verdana"/>
          <w:color w:val="auto"/>
          <w:sz w:val="22"/>
          <w:szCs w:val="22"/>
          <w:lang w:val="es-ES"/>
        </w:rPr>
      </w:pPr>
      <w:r w:rsidRPr="00CD459A">
        <w:rPr>
          <w:rFonts w:ascii="Verdana" w:hAnsi="Verdana"/>
          <w:color w:val="auto"/>
          <w:sz w:val="22"/>
          <w:szCs w:val="22"/>
          <w:lang w:val="es-ES"/>
        </w:rPr>
        <w:t>De cada pagaré vigente a la fecha de corte, se revelará la información suficiente para identificarlo como: Número de operación, Costo, Total Rendimientos, Valor final, Tasa, Fecha de emisión, Fecha de vencimiento, plazo, Costo, Valor rendimientos causados por recaudar.</w:t>
      </w:r>
    </w:p>
    <w:p w14:paraId="0493C25E" w14:textId="77777777" w:rsidR="007C7EF4" w:rsidRPr="00CD459A" w:rsidRDefault="007C7EF4" w:rsidP="007C7EF4">
      <w:pPr>
        <w:pStyle w:val="Textoindependiente"/>
        <w:rPr>
          <w:rFonts w:ascii="Verdana" w:hAnsi="Verdana" w:cs="Arial"/>
          <w:sz w:val="22"/>
          <w:szCs w:val="22"/>
        </w:rPr>
      </w:pPr>
    </w:p>
    <w:p w14:paraId="33943C22"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 xml:space="preserve">DINÁMICA </w:t>
      </w:r>
    </w:p>
    <w:p w14:paraId="58D3BB3A" w14:textId="77777777" w:rsidR="007C7EF4" w:rsidRPr="00CD459A" w:rsidRDefault="007C7EF4" w:rsidP="007C7EF4">
      <w:pPr>
        <w:jc w:val="both"/>
        <w:rPr>
          <w:rFonts w:ascii="Verdana" w:hAnsi="Verdana" w:cs="Arial"/>
        </w:rPr>
      </w:pPr>
    </w:p>
    <w:p w14:paraId="4DC27693" w14:textId="77777777" w:rsidR="007C7EF4" w:rsidRPr="00CD459A" w:rsidRDefault="007C7EF4" w:rsidP="007C7EF4">
      <w:pPr>
        <w:jc w:val="both"/>
        <w:rPr>
          <w:rFonts w:ascii="Verdana" w:hAnsi="Verdana" w:cs="Arial"/>
        </w:rPr>
      </w:pPr>
      <w:r w:rsidRPr="00CD459A">
        <w:rPr>
          <w:rFonts w:ascii="Verdana" w:hAnsi="Verdana" w:cs="Arial"/>
        </w:rPr>
        <w:t xml:space="preserve">SE DEBITA CON: </w:t>
      </w:r>
    </w:p>
    <w:p w14:paraId="4E22519E" w14:textId="77777777" w:rsidR="007C7EF4" w:rsidRPr="00CD459A" w:rsidRDefault="007C7EF4" w:rsidP="00AB3D96">
      <w:pPr>
        <w:pStyle w:val="Prrafodelista"/>
        <w:numPr>
          <w:ilvl w:val="0"/>
          <w:numId w:val="35"/>
        </w:numPr>
        <w:spacing w:line="240" w:lineRule="auto"/>
        <w:jc w:val="both"/>
        <w:rPr>
          <w:rFonts w:ascii="Verdana" w:hAnsi="Verdana" w:cs="Arial"/>
        </w:rPr>
      </w:pPr>
      <w:r w:rsidRPr="00CD459A">
        <w:rPr>
          <w:rFonts w:ascii="Verdana" w:hAnsi="Verdana" w:cs="Arial"/>
        </w:rPr>
        <w:t>Por la Constitución del pagaré, con crédito a la subcuenta 114001 – Cuenta Única Sistema General de Regalías.</w:t>
      </w:r>
    </w:p>
    <w:p w14:paraId="15A1E913" w14:textId="77777777" w:rsidR="007C7EF4" w:rsidRDefault="007C7EF4" w:rsidP="00AB3D96">
      <w:pPr>
        <w:pStyle w:val="Prrafodelista"/>
        <w:numPr>
          <w:ilvl w:val="0"/>
          <w:numId w:val="35"/>
        </w:numPr>
        <w:spacing w:line="240" w:lineRule="auto"/>
        <w:jc w:val="both"/>
        <w:rPr>
          <w:rFonts w:ascii="Verdana" w:hAnsi="Verdana" w:cs="Arial"/>
        </w:rPr>
      </w:pPr>
      <w:r w:rsidRPr="00CD459A">
        <w:rPr>
          <w:rFonts w:ascii="Verdana" w:hAnsi="Verdana" w:cs="Arial"/>
        </w:rPr>
        <w:t>Por el rendimiento efectivo de los pagarés, con crédito a la subcuenta 114001 – Cuenta Única Sistema General de Regalías.</w:t>
      </w:r>
    </w:p>
    <w:p w14:paraId="36365B38" w14:textId="77777777" w:rsidR="00355F8E" w:rsidRPr="00CD459A" w:rsidRDefault="00355F8E" w:rsidP="00355F8E">
      <w:pPr>
        <w:pStyle w:val="Prrafodelista"/>
        <w:spacing w:line="240" w:lineRule="auto"/>
        <w:jc w:val="both"/>
        <w:rPr>
          <w:rFonts w:ascii="Verdana" w:hAnsi="Verdana" w:cs="Arial"/>
        </w:rPr>
      </w:pPr>
    </w:p>
    <w:p w14:paraId="7F774D19" w14:textId="77777777" w:rsidR="007C7EF4" w:rsidRPr="00CD459A" w:rsidRDefault="007C7EF4" w:rsidP="007C7EF4">
      <w:pPr>
        <w:jc w:val="both"/>
        <w:rPr>
          <w:rFonts w:ascii="Verdana" w:hAnsi="Verdana" w:cs="Arial"/>
        </w:rPr>
      </w:pPr>
      <w:r w:rsidRPr="00CD459A">
        <w:rPr>
          <w:rFonts w:ascii="Verdana" w:hAnsi="Verdana" w:cs="Arial"/>
        </w:rPr>
        <w:t xml:space="preserve">SE ACREDITA CON: </w:t>
      </w:r>
    </w:p>
    <w:p w14:paraId="0802FA95" w14:textId="77777777" w:rsidR="007C7EF4" w:rsidRPr="00CD459A" w:rsidRDefault="007C7EF4" w:rsidP="00AB3D96">
      <w:pPr>
        <w:pStyle w:val="Prrafodelista"/>
        <w:numPr>
          <w:ilvl w:val="0"/>
          <w:numId w:val="35"/>
        </w:numPr>
        <w:suppressLineNumbers/>
        <w:tabs>
          <w:tab w:val="left" w:pos="-720"/>
        </w:tabs>
        <w:spacing w:line="240" w:lineRule="auto"/>
        <w:ind w:right="51"/>
        <w:jc w:val="both"/>
        <w:rPr>
          <w:rFonts w:ascii="Verdana" w:hAnsi="Verdana" w:cs="Arial"/>
        </w:rPr>
      </w:pPr>
      <w:r w:rsidRPr="00CD459A">
        <w:rPr>
          <w:rFonts w:ascii="Verdana" w:hAnsi="Verdana" w:cs="Arial"/>
        </w:rPr>
        <w:t>El valor de los recaudos totales o parciales por concepto de redención de pagarés emitidos por la Dirección de crédito público y Tesoro Nacional, con debito a la subcuenta 114001 – Cuenta Única Sistema General de Regalías.</w:t>
      </w:r>
    </w:p>
    <w:tbl>
      <w:tblPr>
        <w:tblW w:w="8875" w:type="dxa"/>
        <w:tblInd w:w="177" w:type="dxa"/>
        <w:tblLayout w:type="fixed"/>
        <w:tblCellMar>
          <w:left w:w="0" w:type="dxa"/>
          <w:right w:w="0" w:type="dxa"/>
        </w:tblCellMar>
        <w:tblLook w:val="01E0" w:firstRow="1" w:lastRow="1" w:firstColumn="1" w:lastColumn="1" w:noHBand="0" w:noVBand="0"/>
      </w:tblPr>
      <w:tblGrid>
        <w:gridCol w:w="1985"/>
        <w:gridCol w:w="3403"/>
        <w:gridCol w:w="3487"/>
      </w:tblGrid>
      <w:tr w:rsidR="00CD459A" w:rsidRPr="00CD459A" w14:paraId="4DFB43BD"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7553E584" w14:textId="77777777" w:rsidR="007C7EF4" w:rsidRPr="00CD459A" w:rsidRDefault="007C7EF4" w:rsidP="003B74CE">
            <w:pPr>
              <w:pStyle w:val="TableParagraph"/>
              <w:spacing w:before="81"/>
              <w:ind w:right="83"/>
              <w:jc w:val="center"/>
              <w:rPr>
                <w:rFonts w:ascii="Verdana" w:hAnsi="Verdana" w:cs="Arial"/>
                <w:b/>
                <w:bCs/>
              </w:rPr>
            </w:pPr>
            <w:r w:rsidRPr="00CD459A">
              <w:rPr>
                <w:rFonts w:ascii="Verdana" w:hAnsi="Verdana" w:cs="Arial"/>
                <w:b/>
                <w:bCs/>
              </w:rPr>
              <w:t>CLASE</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2E98EC6B" w14:textId="77777777" w:rsidR="007C7EF4" w:rsidRPr="00CD459A" w:rsidRDefault="007C7EF4" w:rsidP="003B74CE">
            <w:pPr>
              <w:pStyle w:val="TableParagraph"/>
              <w:spacing w:before="81"/>
              <w:ind w:right="1368"/>
              <w:jc w:val="center"/>
              <w:rPr>
                <w:rFonts w:ascii="Verdana" w:hAnsi="Verdana" w:cs="Arial"/>
                <w:b/>
                <w:bCs/>
              </w:rPr>
            </w:pPr>
            <w:r w:rsidRPr="00CD459A">
              <w:rPr>
                <w:rFonts w:ascii="Verdana" w:hAnsi="Verdana" w:cs="Arial"/>
                <w:b/>
                <w:bCs/>
              </w:rPr>
              <w:t>GRUPO</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3BB29B44" w14:textId="77777777" w:rsidR="007C7EF4" w:rsidRPr="00CD459A" w:rsidRDefault="007C7EF4" w:rsidP="003B74CE">
            <w:pPr>
              <w:pStyle w:val="TableParagraph"/>
              <w:spacing w:before="81"/>
              <w:ind w:right="1372"/>
              <w:jc w:val="center"/>
              <w:rPr>
                <w:rFonts w:ascii="Verdana" w:hAnsi="Verdana" w:cs="Arial"/>
                <w:b/>
                <w:bCs/>
              </w:rPr>
            </w:pPr>
            <w:r w:rsidRPr="00CD459A">
              <w:rPr>
                <w:rFonts w:ascii="Verdana" w:hAnsi="Verdana" w:cs="Arial"/>
                <w:b/>
                <w:bCs/>
              </w:rPr>
              <w:t>CUENTA</w:t>
            </w:r>
          </w:p>
        </w:tc>
      </w:tr>
      <w:tr w:rsidR="00CD459A" w:rsidRPr="00CD459A" w14:paraId="619A85CC"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B6280CD"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1</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4CF41BD4" w14:textId="77777777" w:rsidR="007C7EF4" w:rsidRPr="00CD459A" w:rsidRDefault="007C7EF4" w:rsidP="003B74CE">
            <w:pPr>
              <w:pStyle w:val="TableParagraph"/>
              <w:spacing w:before="81"/>
              <w:ind w:left="137" w:right="522"/>
              <w:jc w:val="both"/>
              <w:rPr>
                <w:rFonts w:ascii="Verdana" w:hAnsi="Verdana" w:cs="Arial"/>
              </w:rPr>
            </w:pPr>
            <w:r w:rsidRPr="00CD459A">
              <w:rPr>
                <w:rFonts w:ascii="Verdana" w:hAnsi="Verdana" w:cs="Arial"/>
              </w:rPr>
              <w:t>15</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4BDC684F" w14:textId="77777777" w:rsidR="007C7EF4" w:rsidRPr="00CD459A" w:rsidRDefault="007C7EF4" w:rsidP="003B74CE">
            <w:pPr>
              <w:jc w:val="both"/>
              <w:rPr>
                <w:rFonts w:ascii="Verdana" w:hAnsi="Verdana" w:cs="Arial"/>
              </w:rPr>
            </w:pPr>
          </w:p>
        </w:tc>
      </w:tr>
      <w:tr w:rsidR="00CD459A" w:rsidRPr="00CD459A" w14:paraId="5165334F" w14:textId="77777777" w:rsidTr="003B74CE">
        <w:trPr>
          <w:trHeight w:hRule="exact" w:val="497"/>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00BE0EB"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62C049DF" w14:textId="77777777" w:rsidR="007C7EF4" w:rsidRPr="00CD459A" w:rsidRDefault="007C7EF4" w:rsidP="003B74CE">
            <w:pPr>
              <w:pStyle w:val="TableParagraph"/>
              <w:spacing w:before="81"/>
              <w:ind w:left="137" w:right="522"/>
              <w:jc w:val="both"/>
              <w:rPr>
                <w:rFonts w:ascii="Verdana" w:hAnsi="Verdana" w:cs="Arial"/>
              </w:rPr>
            </w:pPr>
            <w:r w:rsidRPr="00CD459A">
              <w:rPr>
                <w:rFonts w:ascii="Verdana" w:hAnsi="Verdana" w:cs="Arial"/>
              </w:rPr>
              <w:t>INVENTARIOS</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05DEDA31" w14:textId="77777777" w:rsidR="007C7EF4" w:rsidRPr="00CD459A" w:rsidRDefault="007C7EF4" w:rsidP="003B74CE">
            <w:pPr>
              <w:jc w:val="both"/>
              <w:rPr>
                <w:rFonts w:ascii="Verdana" w:hAnsi="Verdana" w:cs="Arial"/>
              </w:rPr>
            </w:pPr>
          </w:p>
        </w:tc>
      </w:tr>
    </w:tbl>
    <w:p w14:paraId="326E4FAB" w14:textId="77777777" w:rsidR="007C7EF4" w:rsidRPr="00CD459A" w:rsidRDefault="007C7EF4" w:rsidP="007C7EF4">
      <w:pPr>
        <w:jc w:val="both"/>
        <w:rPr>
          <w:rFonts w:ascii="Verdana" w:hAnsi="Verdana" w:cs="Arial"/>
        </w:rPr>
      </w:pPr>
    </w:p>
    <w:p w14:paraId="4CF31129"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52730296" w14:textId="77777777" w:rsidR="007C7EF4" w:rsidRPr="00CD459A" w:rsidRDefault="007C7EF4" w:rsidP="007C7EF4">
      <w:pPr>
        <w:pStyle w:val="Textoindependiente"/>
        <w:ind w:right="195"/>
        <w:rPr>
          <w:rFonts w:ascii="Verdana" w:hAnsi="Verdana" w:cs="Arial"/>
          <w:sz w:val="22"/>
          <w:szCs w:val="22"/>
        </w:rPr>
      </w:pPr>
      <w:r w:rsidRPr="00CD459A">
        <w:rPr>
          <w:rFonts w:ascii="Verdana" w:hAnsi="Verdana" w:cs="Arial"/>
          <w:sz w:val="22"/>
          <w:szCs w:val="22"/>
        </w:rPr>
        <w:t>En esta denominación, se incluyen las cuentas que representan los activos adquiridos, los que se encuentran en proceso de transformación y los producidos, así como los productos agrícolas, que se tengan con la intención de a) comercializarse en el curso normal de la operación, b) distribuirse sin contraprestación en el curso normal de la operación, o c) transformarse o consumirse en actividades de producción de bienes o prestación de</w:t>
      </w:r>
      <w:r w:rsidRPr="00CD459A">
        <w:rPr>
          <w:rFonts w:ascii="Verdana" w:hAnsi="Verdana" w:cs="Arial"/>
          <w:spacing w:val="-16"/>
          <w:sz w:val="22"/>
          <w:szCs w:val="22"/>
        </w:rPr>
        <w:t xml:space="preserve"> </w:t>
      </w:r>
      <w:r w:rsidRPr="00CD459A">
        <w:rPr>
          <w:rFonts w:ascii="Verdana" w:hAnsi="Verdana" w:cs="Arial"/>
          <w:sz w:val="22"/>
          <w:szCs w:val="22"/>
        </w:rPr>
        <w:t>servicios.</w:t>
      </w:r>
    </w:p>
    <w:p w14:paraId="2137112E" w14:textId="77777777" w:rsidR="007C7EF4" w:rsidRPr="00CD459A" w:rsidRDefault="007C7EF4" w:rsidP="007C7EF4">
      <w:pPr>
        <w:spacing w:before="5"/>
        <w:jc w:val="both"/>
        <w:rPr>
          <w:rFonts w:ascii="Verdana" w:hAnsi="Verdana" w:cs="Arial"/>
        </w:rPr>
      </w:pPr>
    </w:p>
    <w:p w14:paraId="589ADFA3" w14:textId="77777777" w:rsidR="007C7EF4" w:rsidRPr="00CD459A" w:rsidRDefault="007C7EF4" w:rsidP="007C7EF4">
      <w:pPr>
        <w:jc w:val="both"/>
        <w:rPr>
          <w:rFonts w:ascii="Verdana" w:hAnsi="Verdana" w:cs="Arial"/>
        </w:rPr>
      </w:pPr>
      <w:r w:rsidRPr="00CD459A">
        <w:rPr>
          <w:rFonts w:ascii="Verdana" w:hAnsi="Verdana" w:cs="Arial"/>
        </w:rPr>
        <w:t xml:space="preserve">OBJETIVO </w:t>
      </w:r>
    </w:p>
    <w:p w14:paraId="48D5D2F7" w14:textId="77777777" w:rsidR="007C7EF4" w:rsidRPr="00CD459A" w:rsidRDefault="007C7EF4" w:rsidP="007C7EF4">
      <w:pPr>
        <w:jc w:val="both"/>
        <w:rPr>
          <w:rFonts w:ascii="Verdana" w:hAnsi="Verdana" w:cs="Arial"/>
        </w:rPr>
      </w:pPr>
      <w:r w:rsidRPr="00CD459A">
        <w:rPr>
          <w:rFonts w:ascii="Verdana" w:hAnsi="Verdana" w:cs="Arial"/>
          <w:lang w:val="es-ES_tradnl" w:eastAsia="es-CO"/>
        </w:rPr>
        <w:t>Definir los lineamientos que se deben tener en cuenta para el reconocimiento, medición, revelación y presentación de los Inventarios en los Estados Financieros del SGR.</w:t>
      </w:r>
    </w:p>
    <w:p w14:paraId="4E0B2D1D" w14:textId="77777777" w:rsidR="007C7EF4" w:rsidRPr="00CD459A" w:rsidRDefault="007C7EF4" w:rsidP="007C7EF4">
      <w:pPr>
        <w:jc w:val="both"/>
        <w:rPr>
          <w:rFonts w:ascii="Verdana" w:hAnsi="Verdana" w:cs="Arial"/>
        </w:rPr>
      </w:pPr>
    </w:p>
    <w:p w14:paraId="1DCE9425" w14:textId="77777777" w:rsidR="007C7EF4" w:rsidRPr="00CD459A" w:rsidRDefault="007C7EF4" w:rsidP="007C7EF4">
      <w:pPr>
        <w:jc w:val="both"/>
        <w:rPr>
          <w:rFonts w:ascii="Verdana" w:hAnsi="Verdana" w:cs="Arial"/>
        </w:rPr>
      </w:pPr>
      <w:r w:rsidRPr="00CD459A">
        <w:rPr>
          <w:rFonts w:ascii="Verdana" w:hAnsi="Verdana" w:cs="Arial"/>
        </w:rPr>
        <w:t>ALCANCE</w:t>
      </w:r>
    </w:p>
    <w:p w14:paraId="7CB44074" w14:textId="77777777" w:rsidR="007C7EF4" w:rsidRPr="00CD459A" w:rsidRDefault="007C7EF4" w:rsidP="007C7EF4">
      <w:pPr>
        <w:pStyle w:val="Textoindependiente"/>
        <w:ind w:right="249"/>
        <w:rPr>
          <w:rFonts w:ascii="Verdana" w:hAnsi="Verdana" w:cs="Arial"/>
          <w:sz w:val="22"/>
          <w:szCs w:val="22"/>
        </w:rPr>
      </w:pPr>
      <w:r w:rsidRPr="00CD459A">
        <w:rPr>
          <w:rFonts w:ascii="Verdana" w:hAnsi="Verdana" w:cs="Arial"/>
          <w:sz w:val="22"/>
          <w:szCs w:val="22"/>
          <w:lang w:val="es-ES_tradnl" w:eastAsia="es-CO"/>
        </w:rPr>
        <w:t>Esta política se aplicará en la contabilización de los Inventarios del SGR.</w:t>
      </w:r>
    </w:p>
    <w:p w14:paraId="2A199C33" w14:textId="77777777" w:rsidR="007C7EF4" w:rsidRPr="00CD459A" w:rsidRDefault="007C7EF4" w:rsidP="007C7EF4">
      <w:pPr>
        <w:suppressLineNumbers/>
        <w:tabs>
          <w:tab w:val="left" w:pos="-720"/>
        </w:tabs>
        <w:ind w:right="51"/>
        <w:jc w:val="both"/>
        <w:rPr>
          <w:rFonts w:ascii="Verdana" w:hAnsi="Verdana" w:cs="Arial"/>
          <w:lang w:val="es-ES_tradnl" w:eastAsia="es-CO"/>
        </w:rPr>
      </w:pPr>
    </w:p>
    <w:p w14:paraId="338A2652"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74"/>
        <w:gridCol w:w="4164"/>
      </w:tblGrid>
      <w:tr w:rsidR="00CD459A" w:rsidRPr="00CD459A" w14:paraId="2FFF49AA" w14:textId="77777777" w:rsidTr="00355F8E">
        <w:trPr>
          <w:jc w:val="center"/>
        </w:trPr>
        <w:tc>
          <w:tcPr>
            <w:tcW w:w="4674" w:type="dxa"/>
            <w:tcBorders>
              <w:bottom w:val="single" w:sz="12" w:space="0" w:color="000000"/>
            </w:tcBorders>
            <w:shd w:val="solid" w:color="2F5395" w:fill="FFFFFF"/>
            <w:vAlign w:val="center"/>
          </w:tcPr>
          <w:p w14:paraId="7DDEE09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164" w:type="dxa"/>
            <w:tcBorders>
              <w:bottom w:val="single" w:sz="12" w:space="0" w:color="000000"/>
            </w:tcBorders>
            <w:shd w:val="solid" w:color="2F5395" w:fill="FFFFFF"/>
            <w:vAlign w:val="center"/>
          </w:tcPr>
          <w:p w14:paraId="6A5A947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25A2CFC0" w14:textId="77777777" w:rsidTr="00355F8E">
        <w:trPr>
          <w:jc w:val="center"/>
        </w:trPr>
        <w:tc>
          <w:tcPr>
            <w:tcW w:w="4674" w:type="dxa"/>
            <w:tcBorders>
              <w:top w:val="single" w:sz="12" w:space="0" w:color="000000"/>
              <w:bottom w:val="nil"/>
            </w:tcBorders>
            <w:shd w:val="pct20" w:color="FFFFFF" w:fill="FFFFFF"/>
            <w:vAlign w:val="center"/>
          </w:tcPr>
          <w:p w14:paraId="6FB9D8D2" w14:textId="77777777" w:rsidR="007C7EF4" w:rsidRPr="00CD459A" w:rsidRDefault="007C7EF4" w:rsidP="00AB3D96">
            <w:pPr>
              <w:numPr>
                <w:ilvl w:val="0"/>
                <w:numId w:val="92"/>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164" w:type="dxa"/>
            <w:tcBorders>
              <w:top w:val="single" w:sz="12" w:space="0" w:color="000000"/>
              <w:bottom w:val="nil"/>
            </w:tcBorders>
            <w:shd w:val="pct20" w:color="FFFFFF" w:fill="FFFFFF"/>
            <w:vAlign w:val="center"/>
          </w:tcPr>
          <w:p w14:paraId="47BFD6DE"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Grupo 15 – Inventarios  </w:t>
            </w:r>
          </w:p>
        </w:tc>
      </w:tr>
      <w:tr w:rsidR="00CD459A" w:rsidRPr="00CD459A" w14:paraId="34F6EFA6" w14:textId="77777777" w:rsidTr="00355F8E">
        <w:trPr>
          <w:jc w:val="center"/>
        </w:trPr>
        <w:tc>
          <w:tcPr>
            <w:tcW w:w="4674" w:type="dxa"/>
            <w:tcBorders>
              <w:bottom w:val="single" w:sz="12" w:space="0" w:color="000000"/>
            </w:tcBorders>
            <w:shd w:val="pct20" w:color="FFFFFF" w:fill="FFFFFF"/>
            <w:vAlign w:val="center"/>
          </w:tcPr>
          <w:p w14:paraId="7208CF11" w14:textId="77777777" w:rsidR="007C7EF4" w:rsidRPr="00CD459A" w:rsidRDefault="007C7EF4" w:rsidP="00AB3D96">
            <w:pPr>
              <w:numPr>
                <w:ilvl w:val="0"/>
                <w:numId w:val="92"/>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164" w:type="dxa"/>
            <w:tcBorders>
              <w:bottom w:val="single" w:sz="12" w:space="0" w:color="000000"/>
            </w:tcBorders>
            <w:shd w:val="pct20" w:color="FFFFFF" w:fill="FFFFFF"/>
            <w:vAlign w:val="center"/>
          </w:tcPr>
          <w:p w14:paraId="56FCA29B"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Capítulo I / Numeral 9. Inventarios</w:t>
            </w:r>
          </w:p>
        </w:tc>
      </w:tr>
    </w:tbl>
    <w:p w14:paraId="005476E5" w14:textId="77777777" w:rsidR="007C7EF4" w:rsidRPr="00CD459A" w:rsidRDefault="007C7EF4" w:rsidP="007C7EF4">
      <w:pPr>
        <w:suppressLineNumbers/>
        <w:tabs>
          <w:tab w:val="left" w:pos="-720"/>
        </w:tabs>
        <w:ind w:right="51"/>
        <w:jc w:val="both"/>
        <w:rPr>
          <w:rFonts w:ascii="Verdana" w:hAnsi="Verdana" w:cs="Arial"/>
        </w:rPr>
      </w:pPr>
    </w:p>
    <w:p w14:paraId="4361DC86"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240EE77D"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6AD3777B" w14:textId="77777777" w:rsidR="007C7EF4" w:rsidRPr="00CD459A" w:rsidRDefault="007C7EF4" w:rsidP="007C7EF4">
      <w:pPr>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3322"/>
        <w:gridCol w:w="5516"/>
      </w:tblGrid>
      <w:tr w:rsidR="00CD459A" w:rsidRPr="00CD459A" w14:paraId="5B62F4FF" w14:textId="77777777" w:rsidTr="003B74CE">
        <w:trPr>
          <w:tblHeader/>
          <w:jc w:val="center"/>
        </w:trPr>
        <w:tc>
          <w:tcPr>
            <w:tcW w:w="3369" w:type="dxa"/>
            <w:tcBorders>
              <w:bottom w:val="single" w:sz="12" w:space="0" w:color="000000"/>
            </w:tcBorders>
            <w:shd w:val="solid" w:color="2F5395" w:fill="FFFFFF"/>
            <w:vAlign w:val="center"/>
          </w:tcPr>
          <w:p w14:paraId="4D9B980D"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611" w:type="dxa"/>
            <w:tcBorders>
              <w:bottom w:val="single" w:sz="12" w:space="0" w:color="000000"/>
            </w:tcBorders>
            <w:shd w:val="solid" w:color="2F5395" w:fill="FFFFFF"/>
            <w:vAlign w:val="center"/>
          </w:tcPr>
          <w:p w14:paraId="652519FD"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5A1393F1" w14:textId="77777777" w:rsidTr="003B74CE">
        <w:trPr>
          <w:trHeight w:val="474"/>
          <w:jc w:val="center"/>
        </w:trPr>
        <w:tc>
          <w:tcPr>
            <w:tcW w:w="3369" w:type="dxa"/>
            <w:tcBorders>
              <w:top w:val="single" w:sz="12" w:space="0" w:color="000000"/>
              <w:bottom w:val="single" w:sz="12" w:space="0" w:color="000000"/>
            </w:tcBorders>
            <w:shd w:val="pct20" w:color="FFFFFF" w:fill="FFFFFF"/>
            <w:vAlign w:val="center"/>
          </w:tcPr>
          <w:p w14:paraId="7E5DBEAA"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Agencia Nacional de Hidrocarburos  </w:t>
            </w:r>
          </w:p>
        </w:tc>
        <w:tc>
          <w:tcPr>
            <w:tcW w:w="5611" w:type="dxa"/>
            <w:tcBorders>
              <w:top w:val="single" w:sz="12" w:space="0" w:color="000000"/>
              <w:bottom w:val="single" w:sz="12" w:space="0" w:color="000000"/>
            </w:tcBorders>
            <w:shd w:val="pct20" w:color="FFFFFF" w:fill="FFFFFF"/>
            <w:vAlign w:val="center"/>
          </w:tcPr>
          <w:p w14:paraId="6D686C67"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Suministrar mensualmente certificación expedida por el contador de la Entidad, referente a la liquidación de Regalias.</w:t>
            </w:r>
          </w:p>
        </w:tc>
      </w:tr>
      <w:tr w:rsidR="00CD459A" w:rsidRPr="00CD459A" w14:paraId="1492DC1C" w14:textId="77777777" w:rsidTr="003B74CE">
        <w:trPr>
          <w:jc w:val="center"/>
        </w:trPr>
        <w:tc>
          <w:tcPr>
            <w:tcW w:w="3369" w:type="dxa"/>
            <w:tcBorders>
              <w:top w:val="single" w:sz="12" w:space="0" w:color="000000"/>
              <w:bottom w:val="single" w:sz="12" w:space="0" w:color="000000"/>
            </w:tcBorders>
            <w:shd w:val="pct20" w:color="FFFFFF" w:fill="FFFFFF"/>
            <w:vAlign w:val="center"/>
          </w:tcPr>
          <w:p w14:paraId="3C1F6D60"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Grupo de Contabilidad</w:t>
            </w:r>
          </w:p>
        </w:tc>
        <w:tc>
          <w:tcPr>
            <w:tcW w:w="5611" w:type="dxa"/>
            <w:tcBorders>
              <w:top w:val="single" w:sz="12" w:space="0" w:color="000000"/>
              <w:bottom w:val="single" w:sz="12" w:space="0" w:color="000000"/>
            </w:tcBorders>
            <w:shd w:val="pct20" w:color="FFFFFF" w:fill="FFFFFF"/>
            <w:vAlign w:val="center"/>
          </w:tcPr>
          <w:p w14:paraId="1CB3DA23"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Recibir la información suministrada por la Agencia Nacional de Hidrocarburos, para su correspondiente registro y revelación en los Estados Financieros del Sistema General de Regalias. </w:t>
            </w:r>
          </w:p>
          <w:p w14:paraId="3AC43786"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Llevar a cabo el proceso de conciliación de los Inventarios.</w:t>
            </w:r>
          </w:p>
        </w:tc>
      </w:tr>
    </w:tbl>
    <w:p w14:paraId="6112DC23" w14:textId="77777777" w:rsidR="007C7EF4" w:rsidRPr="00CD459A" w:rsidRDefault="007C7EF4" w:rsidP="007C7EF4">
      <w:pPr>
        <w:pStyle w:val="Textoindependiente"/>
        <w:ind w:right="249"/>
        <w:rPr>
          <w:rFonts w:ascii="Verdana" w:hAnsi="Verdana" w:cs="Arial"/>
          <w:sz w:val="22"/>
          <w:szCs w:val="22"/>
        </w:rPr>
      </w:pPr>
      <w:r w:rsidRPr="00CD459A">
        <w:rPr>
          <w:rFonts w:ascii="Verdana" w:hAnsi="Verdana" w:cs="Arial"/>
          <w:sz w:val="22"/>
          <w:szCs w:val="22"/>
        </w:rPr>
        <w:t xml:space="preserve"> </w:t>
      </w:r>
    </w:p>
    <w:p w14:paraId="2B940CDF" w14:textId="77777777" w:rsidR="007C7EF4" w:rsidRPr="00CD459A" w:rsidRDefault="007C7EF4" w:rsidP="007C7EF4">
      <w:pPr>
        <w:pStyle w:val="Textoindependiente"/>
        <w:ind w:right="249"/>
        <w:rPr>
          <w:rFonts w:ascii="Verdana" w:hAnsi="Verdana" w:cs="Arial"/>
          <w:sz w:val="22"/>
          <w:szCs w:val="22"/>
        </w:rPr>
      </w:pPr>
    </w:p>
    <w:tbl>
      <w:tblPr>
        <w:tblW w:w="8789" w:type="dxa"/>
        <w:tblInd w:w="-5" w:type="dxa"/>
        <w:tblLayout w:type="fixed"/>
        <w:tblCellMar>
          <w:left w:w="0" w:type="dxa"/>
          <w:right w:w="0" w:type="dxa"/>
        </w:tblCellMar>
        <w:tblLook w:val="01E0" w:firstRow="1" w:lastRow="1" w:firstColumn="1" w:lastColumn="1" w:noHBand="0" w:noVBand="0"/>
      </w:tblPr>
      <w:tblGrid>
        <w:gridCol w:w="1803"/>
        <w:gridCol w:w="2410"/>
        <w:gridCol w:w="4576"/>
      </w:tblGrid>
      <w:tr w:rsidR="00CD459A" w:rsidRPr="00CD459A" w14:paraId="4A7E8A96" w14:textId="77777777" w:rsidTr="003B74CE">
        <w:trPr>
          <w:trHeight w:hRule="exact" w:val="444"/>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69BE9EE6"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0E2E03B"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4576" w:type="dxa"/>
            <w:tcBorders>
              <w:top w:val="single" w:sz="4" w:space="0" w:color="000000"/>
              <w:left w:val="single" w:sz="4" w:space="0" w:color="000000"/>
              <w:bottom w:val="single" w:sz="4" w:space="0" w:color="000000"/>
              <w:right w:val="single" w:sz="4" w:space="0" w:color="000000"/>
            </w:tcBorders>
            <w:shd w:val="clear" w:color="auto" w:fill="auto"/>
          </w:tcPr>
          <w:p w14:paraId="2AC108E2" w14:textId="77777777" w:rsidR="007C7EF4" w:rsidRPr="00CD459A" w:rsidRDefault="007C7EF4" w:rsidP="003B74CE">
            <w:pPr>
              <w:pStyle w:val="TableParagraph"/>
              <w:spacing w:before="81"/>
              <w:ind w:right="1370"/>
              <w:jc w:val="center"/>
              <w:rPr>
                <w:rFonts w:ascii="Verdana" w:hAnsi="Verdana" w:cs="Arial"/>
                <w:b/>
                <w:bCs/>
              </w:rPr>
            </w:pPr>
            <w:r w:rsidRPr="00CD459A">
              <w:rPr>
                <w:rFonts w:ascii="Verdana" w:hAnsi="Verdana" w:cs="Arial"/>
                <w:b/>
                <w:bCs/>
              </w:rPr>
              <w:t>CUENTA</w:t>
            </w:r>
          </w:p>
        </w:tc>
      </w:tr>
      <w:tr w:rsidR="00CD459A" w:rsidRPr="00CD459A" w14:paraId="119F154B" w14:textId="77777777" w:rsidTr="003B74CE">
        <w:trPr>
          <w:trHeight w:hRule="exact" w:val="436"/>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73977714"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1</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4C02B43"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15</w:t>
            </w:r>
          </w:p>
        </w:tc>
        <w:tc>
          <w:tcPr>
            <w:tcW w:w="4576" w:type="dxa"/>
            <w:tcBorders>
              <w:top w:val="single" w:sz="4" w:space="0" w:color="000000"/>
              <w:left w:val="single" w:sz="4" w:space="0" w:color="000000"/>
              <w:bottom w:val="single" w:sz="4" w:space="0" w:color="000000"/>
              <w:right w:val="single" w:sz="4" w:space="0" w:color="000000"/>
            </w:tcBorders>
            <w:shd w:val="clear" w:color="auto" w:fill="auto"/>
          </w:tcPr>
          <w:p w14:paraId="2B485985"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153043</w:t>
            </w:r>
          </w:p>
        </w:tc>
      </w:tr>
      <w:tr w:rsidR="00CD459A" w:rsidRPr="00CD459A" w14:paraId="4E54C1BB" w14:textId="77777777" w:rsidTr="003B74CE">
        <w:trPr>
          <w:trHeight w:hRule="exact" w:val="672"/>
        </w:trPr>
        <w:tc>
          <w:tcPr>
            <w:tcW w:w="1803" w:type="dxa"/>
            <w:tcBorders>
              <w:top w:val="single" w:sz="4" w:space="0" w:color="000000"/>
              <w:left w:val="single" w:sz="4" w:space="0" w:color="000000"/>
              <w:bottom w:val="single" w:sz="4" w:space="0" w:color="000000"/>
              <w:right w:val="single" w:sz="4" w:space="0" w:color="000000"/>
            </w:tcBorders>
            <w:shd w:val="clear" w:color="auto" w:fill="auto"/>
          </w:tcPr>
          <w:p w14:paraId="1F0086C9"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23F8AC2"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INVENTARIOS</w:t>
            </w:r>
          </w:p>
        </w:tc>
        <w:tc>
          <w:tcPr>
            <w:tcW w:w="4576" w:type="dxa"/>
            <w:tcBorders>
              <w:top w:val="single" w:sz="4" w:space="0" w:color="000000"/>
              <w:left w:val="single" w:sz="4" w:space="0" w:color="000000"/>
              <w:bottom w:val="single" w:sz="4" w:space="0" w:color="000000"/>
              <w:right w:val="single" w:sz="4" w:space="0" w:color="000000"/>
            </w:tcBorders>
            <w:shd w:val="clear" w:color="auto" w:fill="auto"/>
          </w:tcPr>
          <w:p w14:paraId="0ABB2818"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EN PODER DE</w:t>
            </w:r>
            <w:r w:rsidRPr="00CD459A">
              <w:rPr>
                <w:rFonts w:ascii="Verdana" w:hAnsi="Verdana" w:cs="Arial"/>
                <w:spacing w:val="-7"/>
              </w:rPr>
              <w:t xml:space="preserve"> </w:t>
            </w:r>
            <w:r w:rsidRPr="00CD459A">
              <w:rPr>
                <w:rFonts w:ascii="Verdana" w:hAnsi="Verdana" w:cs="Arial"/>
              </w:rPr>
              <w:t xml:space="preserve">TERCEROS – HIDROCARBUROS </w:t>
            </w:r>
          </w:p>
          <w:p w14:paraId="48FDDEAF" w14:textId="77777777" w:rsidR="007C7EF4" w:rsidRPr="00CD459A" w:rsidRDefault="007C7EF4" w:rsidP="003B74CE">
            <w:pPr>
              <w:pStyle w:val="TableParagraph"/>
              <w:spacing w:before="81"/>
              <w:ind w:left="100" w:right="568"/>
              <w:jc w:val="both"/>
              <w:rPr>
                <w:rFonts w:ascii="Verdana" w:hAnsi="Verdana" w:cs="Arial"/>
              </w:rPr>
            </w:pPr>
          </w:p>
        </w:tc>
      </w:tr>
    </w:tbl>
    <w:p w14:paraId="1BDB4CF7" w14:textId="77777777" w:rsidR="007C7EF4" w:rsidRPr="00CD459A" w:rsidRDefault="007C7EF4" w:rsidP="007C7EF4">
      <w:pPr>
        <w:suppressLineNumbers/>
        <w:tabs>
          <w:tab w:val="left" w:pos="-720"/>
        </w:tabs>
        <w:ind w:left="284" w:hanging="284"/>
        <w:jc w:val="both"/>
        <w:rPr>
          <w:rFonts w:ascii="Verdana" w:eastAsia="Calibri" w:hAnsi="Verdana" w:cs="Arial"/>
        </w:rPr>
      </w:pPr>
    </w:p>
    <w:p w14:paraId="4724712D"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eastAsia="Calibri" w:hAnsi="Verdana" w:cs="Arial"/>
        </w:rPr>
        <w:t>DESCRIPCIÓN</w:t>
      </w:r>
    </w:p>
    <w:p w14:paraId="6E5876C0"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eastAsia="Calibri" w:hAnsi="Verdana" w:cs="Arial"/>
        </w:rPr>
        <w:t>Representa el valor de los hidrocarburos recibidos para extinguir la obligación del operador como contraprestación por la explotación de recursos naturales son renovables, esta operación se presenta con ECOPETROL quien utiliza el pago en especie, y mantiene el petróleo bajo su custodia hasta su comercialización.</w:t>
      </w:r>
    </w:p>
    <w:p w14:paraId="52D094BE"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 </w:t>
      </w:r>
    </w:p>
    <w:p w14:paraId="26E7139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MEDICIÓN </w:t>
      </w:r>
    </w:p>
    <w:p w14:paraId="68EF7634"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eastAsia="Calibri" w:hAnsi="Verdana" w:cs="Arial"/>
        </w:rPr>
        <w:t>El inventario en poder de terceros se registra por el valor de las regalías liquidadas en especie de Ecopetrol según certificación emitida por la Agencia Nacional de Hidrocarburos y se desafecta por el valor transferido por la Agencia Nacional de Hidrocarburos del valor comercializado.</w:t>
      </w:r>
    </w:p>
    <w:p w14:paraId="45968CFF"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BABDFE3"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1037CD0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el Contador de la Agencia Nacional de Hidrocarburos.</w:t>
      </w:r>
    </w:p>
    <w:p w14:paraId="47C187E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Extractos Bancarios </w:t>
      </w:r>
    </w:p>
    <w:p w14:paraId="66881E4E" w14:textId="77777777" w:rsidR="007C7EF4" w:rsidRPr="00CD459A" w:rsidRDefault="007C7EF4" w:rsidP="007C7EF4">
      <w:pPr>
        <w:suppressLineNumbers/>
        <w:tabs>
          <w:tab w:val="left" w:pos="-720"/>
        </w:tabs>
        <w:ind w:left="284" w:hanging="284"/>
        <w:jc w:val="both"/>
        <w:rPr>
          <w:rFonts w:ascii="Verdana" w:eastAsia="Calibri" w:hAnsi="Verdana" w:cs="Arial"/>
        </w:rPr>
      </w:pPr>
    </w:p>
    <w:p w14:paraId="0EFF91A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51BABE55"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eastAsia="Calibri" w:hAnsi="Verdana" w:cs="Arial"/>
        </w:rPr>
        <w:t xml:space="preserve">Se compara el saldo contable, frente al valor certificado por la Agencia Nacional de Hidrocarburos. </w:t>
      </w:r>
    </w:p>
    <w:p w14:paraId="04249F1F" w14:textId="77777777" w:rsidR="007C7EF4" w:rsidRPr="00CD459A" w:rsidRDefault="007C7EF4" w:rsidP="007C7EF4">
      <w:pPr>
        <w:suppressLineNumbers/>
        <w:tabs>
          <w:tab w:val="left" w:pos="-720"/>
        </w:tabs>
        <w:ind w:left="284" w:hanging="284"/>
        <w:jc w:val="both"/>
        <w:rPr>
          <w:rFonts w:ascii="Verdana" w:eastAsia="Calibri" w:hAnsi="Verdana" w:cs="Arial"/>
        </w:rPr>
      </w:pPr>
    </w:p>
    <w:p w14:paraId="0BF90C6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REVELACIONES</w:t>
      </w:r>
    </w:p>
    <w:p w14:paraId="3A8611AF"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eastAsia="Calibri" w:hAnsi="Verdana" w:cs="Arial"/>
        </w:rPr>
        <w:t>El saldo de la cuenta se discrimina por tercero operador que mantiene en su poder el inventario del Sistema General de Regalías.</w:t>
      </w:r>
    </w:p>
    <w:p w14:paraId="446134B9" w14:textId="77777777" w:rsidR="007C7EF4" w:rsidRPr="00CD459A" w:rsidRDefault="007C7EF4" w:rsidP="007C7EF4">
      <w:pPr>
        <w:suppressLineNumbers/>
        <w:tabs>
          <w:tab w:val="left" w:pos="-720"/>
        </w:tabs>
        <w:ind w:left="284" w:hanging="284"/>
        <w:jc w:val="both"/>
        <w:rPr>
          <w:rFonts w:ascii="Verdana" w:eastAsia="Calibri" w:hAnsi="Verdana" w:cs="Arial"/>
        </w:rPr>
      </w:pPr>
    </w:p>
    <w:p w14:paraId="6030885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DINÁMICA </w:t>
      </w:r>
    </w:p>
    <w:p w14:paraId="40EBDB28"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3436E0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SE DEBITA CON:</w:t>
      </w:r>
    </w:p>
    <w:p w14:paraId="2A6DA9BC" w14:textId="77777777" w:rsidR="007C7EF4" w:rsidRPr="00CD459A" w:rsidRDefault="007C7EF4" w:rsidP="00AB3D96">
      <w:pPr>
        <w:pStyle w:val="Prrafodelista"/>
        <w:numPr>
          <w:ilvl w:val="0"/>
          <w:numId w:val="85"/>
        </w:numPr>
        <w:suppressLineNumbers/>
        <w:tabs>
          <w:tab w:val="left" w:pos="-720"/>
        </w:tabs>
        <w:spacing w:line="240" w:lineRule="auto"/>
        <w:jc w:val="both"/>
        <w:rPr>
          <w:rFonts w:ascii="Verdana" w:hAnsi="Verdana" w:cs="Arial"/>
        </w:rPr>
      </w:pPr>
      <w:r w:rsidRPr="00CD459A">
        <w:rPr>
          <w:rFonts w:ascii="Verdana" w:hAnsi="Verdana" w:cs="Arial"/>
        </w:rPr>
        <w:t>El valor de las liquidaciones en especie que certifica mensualmente la Agencia Nacional de Hidrocarburos, con crédito a la subcuenta 411101- Regalias Hidrocarburos.</w:t>
      </w:r>
    </w:p>
    <w:p w14:paraId="4C155A80" w14:textId="77777777" w:rsidR="007C7EF4" w:rsidRDefault="007C7EF4" w:rsidP="00AB3D96">
      <w:pPr>
        <w:pStyle w:val="Prrafodelista"/>
        <w:numPr>
          <w:ilvl w:val="0"/>
          <w:numId w:val="85"/>
        </w:numPr>
        <w:suppressLineNumbers/>
        <w:tabs>
          <w:tab w:val="left" w:pos="-720"/>
        </w:tabs>
        <w:spacing w:line="240" w:lineRule="auto"/>
        <w:ind w:left="709" w:hanging="283"/>
        <w:jc w:val="both"/>
        <w:rPr>
          <w:rFonts w:ascii="Verdana" w:hAnsi="Verdana" w:cs="Arial"/>
        </w:rPr>
      </w:pPr>
      <w:r w:rsidRPr="00CD459A">
        <w:rPr>
          <w:rFonts w:ascii="Verdana" w:hAnsi="Verdana" w:cs="Arial"/>
        </w:rPr>
        <w:t>Por la diferencia entre el precio base de liquidación de la regalía y el precio de comercialización.</w:t>
      </w:r>
    </w:p>
    <w:p w14:paraId="23E3729A" w14:textId="77777777" w:rsidR="00355F8E" w:rsidRPr="00CD459A" w:rsidRDefault="00355F8E" w:rsidP="00355F8E">
      <w:pPr>
        <w:pStyle w:val="Prrafodelista"/>
        <w:suppressLineNumbers/>
        <w:tabs>
          <w:tab w:val="left" w:pos="-720"/>
        </w:tabs>
        <w:spacing w:line="240" w:lineRule="auto"/>
        <w:ind w:left="709"/>
        <w:jc w:val="both"/>
        <w:rPr>
          <w:rFonts w:ascii="Verdana" w:hAnsi="Verdana" w:cs="Arial"/>
        </w:rPr>
      </w:pPr>
    </w:p>
    <w:p w14:paraId="6A3DCC18"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SE ACREDITA CON:</w:t>
      </w:r>
    </w:p>
    <w:p w14:paraId="5FCBAEA0" w14:textId="77777777" w:rsidR="007C7EF4" w:rsidRPr="00CD459A" w:rsidRDefault="007C7EF4" w:rsidP="007C7EF4">
      <w:pPr>
        <w:suppressLineNumbers/>
        <w:tabs>
          <w:tab w:val="left" w:pos="-720"/>
        </w:tabs>
        <w:ind w:left="284" w:hanging="284"/>
        <w:jc w:val="both"/>
        <w:rPr>
          <w:rFonts w:ascii="Verdana" w:eastAsia="Calibri" w:hAnsi="Verdana" w:cs="Arial"/>
        </w:rPr>
      </w:pPr>
    </w:p>
    <w:p w14:paraId="23F71E46" w14:textId="77777777" w:rsidR="007C7EF4" w:rsidRPr="00CD459A" w:rsidRDefault="007C7EF4" w:rsidP="00AB3D96">
      <w:pPr>
        <w:pStyle w:val="Prrafodelista"/>
        <w:numPr>
          <w:ilvl w:val="0"/>
          <w:numId w:val="85"/>
        </w:numPr>
        <w:suppressLineNumbers/>
        <w:tabs>
          <w:tab w:val="left" w:pos="-720"/>
        </w:tabs>
        <w:spacing w:line="240" w:lineRule="auto"/>
        <w:jc w:val="both"/>
        <w:rPr>
          <w:rFonts w:ascii="Verdana" w:hAnsi="Verdana" w:cs="Arial"/>
        </w:rPr>
      </w:pPr>
      <w:r w:rsidRPr="00CD459A">
        <w:rPr>
          <w:rFonts w:ascii="Verdana" w:hAnsi="Verdana" w:cs="Arial"/>
        </w:rPr>
        <w:t xml:space="preserve">El valor de la comercialización de los hidrocarburos, con debito a la subcuenta 138444- Regalias y rendimientos pendientes de transferir al Sistema General de Regalías. </w:t>
      </w:r>
    </w:p>
    <w:p w14:paraId="5A51175B" w14:textId="77777777" w:rsidR="007C7EF4" w:rsidRPr="00CD459A" w:rsidRDefault="007C7EF4" w:rsidP="00AB3D96">
      <w:pPr>
        <w:pStyle w:val="Prrafodelista"/>
        <w:numPr>
          <w:ilvl w:val="0"/>
          <w:numId w:val="85"/>
        </w:numPr>
        <w:suppressLineNumbers/>
        <w:tabs>
          <w:tab w:val="left" w:pos="-720"/>
        </w:tabs>
        <w:spacing w:line="240" w:lineRule="auto"/>
        <w:ind w:left="709" w:hanging="283"/>
        <w:jc w:val="both"/>
        <w:rPr>
          <w:rFonts w:ascii="Verdana" w:hAnsi="Verdana" w:cs="Arial"/>
        </w:rPr>
      </w:pPr>
      <w:r w:rsidRPr="00CD459A">
        <w:rPr>
          <w:rFonts w:ascii="Verdana" w:hAnsi="Verdana" w:cs="Arial"/>
        </w:rPr>
        <w:t>Con los recursos transferidos producto de la comercialización de las regalías en especie.</w:t>
      </w:r>
    </w:p>
    <w:p w14:paraId="73F9D32D" w14:textId="77777777" w:rsidR="007C7EF4" w:rsidRPr="00CD459A" w:rsidRDefault="007C7EF4" w:rsidP="00AB3D96">
      <w:pPr>
        <w:pStyle w:val="Prrafodelista"/>
        <w:numPr>
          <w:ilvl w:val="0"/>
          <w:numId w:val="85"/>
        </w:numPr>
        <w:suppressLineNumbers/>
        <w:tabs>
          <w:tab w:val="left" w:pos="-720"/>
        </w:tabs>
        <w:spacing w:line="240" w:lineRule="auto"/>
        <w:ind w:left="709" w:hanging="283"/>
        <w:jc w:val="both"/>
        <w:rPr>
          <w:rFonts w:ascii="Verdana" w:hAnsi="Verdana" w:cs="Arial"/>
        </w:rPr>
      </w:pPr>
      <w:r w:rsidRPr="00CD459A">
        <w:rPr>
          <w:rFonts w:ascii="Verdana" w:hAnsi="Verdana" w:cs="Arial"/>
        </w:rPr>
        <w:t>Por la diferencia entre el precio base de liquidación de la regalía y el precio de comercialización.</w:t>
      </w:r>
    </w:p>
    <w:tbl>
      <w:tblPr>
        <w:tblW w:w="0" w:type="auto"/>
        <w:tblInd w:w="177" w:type="dxa"/>
        <w:tblLayout w:type="fixed"/>
        <w:tblCellMar>
          <w:left w:w="0" w:type="dxa"/>
          <w:right w:w="0" w:type="dxa"/>
        </w:tblCellMar>
        <w:tblLook w:val="01E0" w:firstRow="1" w:lastRow="1" w:firstColumn="1" w:lastColumn="1" w:noHBand="0" w:noVBand="0"/>
      </w:tblPr>
      <w:tblGrid>
        <w:gridCol w:w="1985"/>
        <w:gridCol w:w="3403"/>
        <w:gridCol w:w="3487"/>
      </w:tblGrid>
      <w:tr w:rsidR="00CD459A" w:rsidRPr="00CD459A" w14:paraId="219C851E"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52274C60"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48A9CF6C" w14:textId="77777777" w:rsidR="007C7EF4" w:rsidRPr="00CD459A" w:rsidRDefault="007C7EF4" w:rsidP="003B74CE">
            <w:pPr>
              <w:pStyle w:val="TableParagraph"/>
              <w:spacing w:before="81"/>
              <w:ind w:right="1368"/>
              <w:jc w:val="center"/>
              <w:rPr>
                <w:rFonts w:ascii="Verdana" w:hAnsi="Verdana" w:cs="Arial"/>
                <w:b/>
                <w:bCs/>
              </w:rPr>
            </w:pPr>
            <w:r w:rsidRPr="00CD459A">
              <w:rPr>
                <w:rFonts w:ascii="Verdana" w:hAnsi="Verdana" w:cs="Arial"/>
                <w:b/>
                <w:bCs/>
              </w:rPr>
              <w:t>GRUPO</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35874631" w14:textId="77777777" w:rsidR="007C7EF4" w:rsidRPr="00CD459A" w:rsidRDefault="007C7EF4" w:rsidP="003B74CE">
            <w:pPr>
              <w:pStyle w:val="TableParagraph"/>
              <w:spacing w:before="81"/>
              <w:ind w:right="1372"/>
              <w:jc w:val="center"/>
              <w:rPr>
                <w:rFonts w:ascii="Verdana" w:hAnsi="Verdana" w:cs="Arial"/>
                <w:b/>
                <w:bCs/>
              </w:rPr>
            </w:pPr>
            <w:r w:rsidRPr="00CD459A">
              <w:rPr>
                <w:rFonts w:ascii="Verdana" w:hAnsi="Verdana" w:cs="Arial"/>
                <w:b/>
                <w:bCs/>
              </w:rPr>
              <w:t>CUENTA</w:t>
            </w:r>
          </w:p>
        </w:tc>
      </w:tr>
      <w:tr w:rsidR="00CD459A" w:rsidRPr="00CD459A" w14:paraId="1183CEF8"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CAB9609"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1</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2DA78B59"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19</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0F999207" w14:textId="77777777" w:rsidR="007C7EF4" w:rsidRPr="00CD459A" w:rsidRDefault="007C7EF4" w:rsidP="003B74CE">
            <w:pPr>
              <w:jc w:val="both"/>
              <w:rPr>
                <w:rFonts w:ascii="Verdana" w:hAnsi="Verdana" w:cs="Arial"/>
              </w:rPr>
            </w:pPr>
          </w:p>
        </w:tc>
      </w:tr>
      <w:tr w:rsidR="00CD459A" w:rsidRPr="00CD459A" w14:paraId="63CBC622"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8A7AAF5"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23562896"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OTROS</w:t>
            </w:r>
            <w:r w:rsidRPr="00CD459A">
              <w:rPr>
                <w:rFonts w:ascii="Verdana" w:hAnsi="Verdana" w:cs="Arial"/>
                <w:spacing w:val="-7"/>
              </w:rPr>
              <w:t xml:space="preserve"> </w:t>
            </w:r>
            <w:r w:rsidRPr="00CD459A">
              <w:rPr>
                <w:rFonts w:ascii="Verdana" w:hAnsi="Verdana" w:cs="Arial"/>
              </w:rPr>
              <w:t>ACTIVOS</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3B5FC315" w14:textId="77777777" w:rsidR="007C7EF4" w:rsidRPr="00CD459A" w:rsidRDefault="007C7EF4" w:rsidP="003B74CE">
            <w:pPr>
              <w:jc w:val="both"/>
              <w:rPr>
                <w:rFonts w:ascii="Verdana" w:hAnsi="Verdana" w:cs="Arial"/>
              </w:rPr>
            </w:pPr>
          </w:p>
        </w:tc>
      </w:tr>
    </w:tbl>
    <w:p w14:paraId="1B7CE776" w14:textId="77777777" w:rsidR="007C7EF4" w:rsidRPr="00CD459A" w:rsidRDefault="007C7EF4" w:rsidP="007C7EF4">
      <w:pPr>
        <w:jc w:val="both"/>
        <w:rPr>
          <w:rFonts w:ascii="Verdana" w:hAnsi="Verdana" w:cs="Arial"/>
        </w:rPr>
      </w:pPr>
    </w:p>
    <w:p w14:paraId="21C85CEE"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4311483A" w14:textId="77777777" w:rsidR="007C7EF4" w:rsidRPr="00CD459A" w:rsidRDefault="007C7EF4" w:rsidP="007C7EF4">
      <w:pPr>
        <w:pStyle w:val="Textoindependiente"/>
        <w:ind w:right="-91"/>
        <w:rPr>
          <w:rFonts w:ascii="Verdana" w:hAnsi="Verdana" w:cs="Arial"/>
          <w:sz w:val="22"/>
          <w:szCs w:val="22"/>
        </w:rPr>
      </w:pPr>
      <w:r w:rsidRPr="00CD459A">
        <w:rPr>
          <w:rFonts w:ascii="Verdana" w:hAnsi="Verdana" w:cs="Arial"/>
          <w:sz w:val="22"/>
          <w:szCs w:val="22"/>
        </w:rPr>
        <w:t>En esta denominación, se incluyen las cuentas que representan los recursos, tangibles e intangibles, que son complementarios para la producción o suministro de bienes, para la prestación de servicios y para propósitos administrativos. También incluye los recursos controlados por la entidad que no han sido incluidos en otro grupo y de los cuales espera obtener un potencial de servicio o generar beneficios económicos</w:t>
      </w:r>
      <w:r w:rsidRPr="00CD459A">
        <w:rPr>
          <w:rFonts w:ascii="Verdana" w:hAnsi="Verdana" w:cs="Arial"/>
          <w:spacing w:val="-18"/>
          <w:sz w:val="22"/>
          <w:szCs w:val="22"/>
        </w:rPr>
        <w:t xml:space="preserve"> </w:t>
      </w:r>
      <w:r w:rsidRPr="00CD459A">
        <w:rPr>
          <w:rFonts w:ascii="Verdana" w:hAnsi="Verdana" w:cs="Arial"/>
          <w:sz w:val="22"/>
          <w:szCs w:val="22"/>
        </w:rPr>
        <w:t>futuros.</w:t>
      </w:r>
    </w:p>
    <w:p w14:paraId="090CA87F" w14:textId="77777777" w:rsidR="007C7EF4" w:rsidRPr="00CD459A" w:rsidRDefault="007C7EF4" w:rsidP="007C7EF4">
      <w:pPr>
        <w:suppressLineNumbers/>
        <w:tabs>
          <w:tab w:val="left" w:pos="-720"/>
        </w:tabs>
        <w:ind w:left="284" w:hanging="284"/>
        <w:jc w:val="both"/>
        <w:rPr>
          <w:rFonts w:ascii="Verdana" w:eastAsia="Calibri" w:hAnsi="Verdana" w:cs="Arial"/>
        </w:rPr>
      </w:pPr>
    </w:p>
    <w:p w14:paraId="45A8D84B"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OBJETIVO</w:t>
      </w:r>
    </w:p>
    <w:p w14:paraId="06CE35F8"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 otros activos, en los Estados Financieros del Sistema General de Regalias. </w:t>
      </w:r>
    </w:p>
    <w:p w14:paraId="2FF92DB5" w14:textId="77777777" w:rsidR="007C7EF4" w:rsidRPr="00CD459A" w:rsidRDefault="007C7EF4" w:rsidP="007C7EF4">
      <w:pPr>
        <w:suppressLineNumbers/>
        <w:tabs>
          <w:tab w:val="left" w:pos="-720"/>
        </w:tabs>
        <w:ind w:left="284" w:hanging="284"/>
        <w:jc w:val="both"/>
        <w:rPr>
          <w:rFonts w:ascii="Verdana" w:eastAsia="Calibri" w:hAnsi="Verdana" w:cs="Arial"/>
        </w:rPr>
      </w:pPr>
    </w:p>
    <w:p w14:paraId="055B3E97"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ALCANCE </w:t>
      </w:r>
    </w:p>
    <w:p w14:paraId="0A7A2D6A"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hAnsi="Verdana" w:cs="Arial"/>
          <w:lang w:val="es-ES_tradnl" w:eastAsia="es-CO"/>
        </w:rPr>
        <w:t>Esta política se aplicará en la contabilización de otros activos del SGR.</w:t>
      </w:r>
    </w:p>
    <w:p w14:paraId="335D4545" w14:textId="77777777" w:rsidR="007C7EF4" w:rsidRPr="00CD459A" w:rsidRDefault="007C7EF4" w:rsidP="007C7EF4">
      <w:pPr>
        <w:suppressLineNumbers/>
        <w:tabs>
          <w:tab w:val="left" w:pos="-720"/>
        </w:tabs>
        <w:ind w:right="51"/>
        <w:jc w:val="both"/>
        <w:rPr>
          <w:rFonts w:ascii="Verdana" w:hAnsi="Verdana" w:cs="Arial"/>
          <w:lang w:val="es-ES_tradnl" w:eastAsia="es-CO"/>
        </w:rPr>
      </w:pPr>
      <w:r w:rsidRPr="00CD459A">
        <w:rPr>
          <w:rFonts w:ascii="Verdana" w:hAnsi="Verdana" w:cs="Arial"/>
          <w:lang w:val="es-ES_tradnl" w:eastAsia="es-CO"/>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101E4A00" w14:textId="77777777" w:rsidTr="00355F8E">
        <w:trPr>
          <w:jc w:val="center"/>
        </w:trPr>
        <w:tc>
          <w:tcPr>
            <w:tcW w:w="4635" w:type="dxa"/>
            <w:tcBorders>
              <w:bottom w:val="single" w:sz="12" w:space="0" w:color="000000"/>
            </w:tcBorders>
            <w:shd w:val="solid" w:color="2F5395" w:fill="FFFFFF"/>
            <w:vAlign w:val="center"/>
          </w:tcPr>
          <w:p w14:paraId="0F2D2FDA"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03" w:type="dxa"/>
            <w:tcBorders>
              <w:bottom w:val="single" w:sz="12" w:space="0" w:color="000000"/>
            </w:tcBorders>
            <w:shd w:val="solid" w:color="2F5395" w:fill="FFFFFF"/>
            <w:vAlign w:val="center"/>
          </w:tcPr>
          <w:p w14:paraId="53918168"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7A3EFBC1" w14:textId="77777777" w:rsidTr="00355F8E">
        <w:trPr>
          <w:jc w:val="center"/>
        </w:trPr>
        <w:tc>
          <w:tcPr>
            <w:tcW w:w="4635" w:type="dxa"/>
            <w:tcBorders>
              <w:top w:val="single" w:sz="12" w:space="0" w:color="000000"/>
              <w:bottom w:val="single" w:sz="12" w:space="0" w:color="000000"/>
            </w:tcBorders>
            <w:shd w:val="pct20" w:color="FFFFFF" w:fill="FFFFFF"/>
            <w:vAlign w:val="center"/>
          </w:tcPr>
          <w:p w14:paraId="7509A5F5" w14:textId="77777777" w:rsidR="007C7EF4" w:rsidRPr="00CD459A" w:rsidRDefault="007C7EF4" w:rsidP="00AB3D96">
            <w:pPr>
              <w:numPr>
                <w:ilvl w:val="0"/>
                <w:numId w:val="93"/>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03" w:type="dxa"/>
            <w:tcBorders>
              <w:top w:val="single" w:sz="12" w:space="0" w:color="000000"/>
              <w:bottom w:val="single" w:sz="12" w:space="0" w:color="000000"/>
            </w:tcBorders>
            <w:shd w:val="pct20" w:color="FFFFFF" w:fill="FFFFFF"/>
            <w:vAlign w:val="center"/>
          </w:tcPr>
          <w:p w14:paraId="0E309E8B" w14:textId="77777777" w:rsidR="007C7EF4" w:rsidRPr="00CD459A" w:rsidRDefault="007C7EF4" w:rsidP="00AB3D96">
            <w:pPr>
              <w:numPr>
                <w:ilvl w:val="0"/>
                <w:numId w:val="93"/>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Grupo 19 – Otros activos </w:t>
            </w:r>
          </w:p>
        </w:tc>
      </w:tr>
    </w:tbl>
    <w:p w14:paraId="5D4D2355" w14:textId="77777777" w:rsidR="007C7EF4" w:rsidRPr="00CD459A" w:rsidRDefault="007C7EF4" w:rsidP="007C7EF4">
      <w:pPr>
        <w:suppressLineNumbers/>
        <w:tabs>
          <w:tab w:val="left" w:pos="-720"/>
        </w:tabs>
        <w:ind w:right="51"/>
        <w:jc w:val="both"/>
        <w:rPr>
          <w:rFonts w:ascii="Verdana" w:hAnsi="Verdana" w:cs="Arial"/>
        </w:rPr>
      </w:pPr>
    </w:p>
    <w:p w14:paraId="126CCE84"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48BD9775"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tbl>
      <w:tblPr>
        <w:tblW w:w="0" w:type="auto"/>
        <w:jc w:val="center"/>
        <w:tblBorders>
          <w:bottom w:val="single" w:sz="12" w:space="0" w:color="000000"/>
        </w:tblBorders>
        <w:tblLook w:val="0420" w:firstRow="1" w:lastRow="0" w:firstColumn="0" w:lastColumn="0" w:noHBand="0" w:noVBand="1"/>
      </w:tblPr>
      <w:tblGrid>
        <w:gridCol w:w="2347"/>
        <w:gridCol w:w="970"/>
        <w:gridCol w:w="5521"/>
      </w:tblGrid>
      <w:tr w:rsidR="00CD459A" w:rsidRPr="00CD459A" w14:paraId="5516D6CC" w14:textId="77777777" w:rsidTr="00355F8E">
        <w:trPr>
          <w:tblHeader/>
          <w:jc w:val="center"/>
        </w:trPr>
        <w:tc>
          <w:tcPr>
            <w:tcW w:w="3317" w:type="dxa"/>
            <w:gridSpan w:val="2"/>
            <w:tcBorders>
              <w:bottom w:val="single" w:sz="12" w:space="0" w:color="000000"/>
            </w:tcBorders>
            <w:shd w:val="solid" w:color="2F5395" w:fill="FFFFFF"/>
            <w:vAlign w:val="center"/>
          </w:tcPr>
          <w:p w14:paraId="34B8B9A5"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ENTIDAD</w:t>
            </w:r>
          </w:p>
        </w:tc>
        <w:tc>
          <w:tcPr>
            <w:tcW w:w="5521" w:type="dxa"/>
            <w:tcBorders>
              <w:bottom w:val="single" w:sz="12" w:space="0" w:color="000000"/>
            </w:tcBorders>
            <w:shd w:val="solid" w:color="2F5395" w:fill="FFFFFF"/>
            <w:vAlign w:val="center"/>
          </w:tcPr>
          <w:p w14:paraId="2DB6B3A7"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6D2973EB" w14:textId="77777777" w:rsidTr="00355F8E">
        <w:trPr>
          <w:trHeight w:val="474"/>
          <w:jc w:val="center"/>
        </w:trPr>
        <w:tc>
          <w:tcPr>
            <w:tcW w:w="3317" w:type="dxa"/>
            <w:gridSpan w:val="2"/>
            <w:tcBorders>
              <w:top w:val="single" w:sz="12" w:space="0" w:color="000000"/>
              <w:bottom w:val="single" w:sz="12" w:space="0" w:color="000000"/>
            </w:tcBorders>
            <w:shd w:val="pct20" w:color="FFFFFF" w:fill="FFFFFF"/>
            <w:vAlign w:val="center"/>
          </w:tcPr>
          <w:p w14:paraId="683B34BC"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Banco de la Republica   </w:t>
            </w:r>
          </w:p>
        </w:tc>
        <w:tc>
          <w:tcPr>
            <w:tcW w:w="5521" w:type="dxa"/>
            <w:tcBorders>
              <w:top w:val="single" w:sz="12" w:space="0" w:color="000000"/>
              <w:bottom w:val="single" w:sz="12" w:space="0" w:color="000000"/>
            </w:tcBorders>
            <w:shd w:val="pct20" w:color="FFFFFF" w:fill="FFFFFF"/>
            <w:vAlign w:val="center"/>
          </w:tcPr>
          <w:p w14:paraId="42630E54"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El grupo de Contabilidad descarga mensualmente del portal del Banco de la República, reporte de Evolución de Ahorros por Participe del Fideicomiso FAE.</w:t>
            </w:r>
          </w:p>
        </w:tc>
      </w:tr>
      <w:tr w:rsidR="00CD459A" w:rsidRPr="00CD459A" w14:paraId="3E9FE17F" w14:textId="77777777" w:rsidTr="00355F8E">
        <w:trPr>
          <w:trHeight w:val="474"/>
          <w:jc w:val="center"/>
        </w:trPr>
        <w:tc>
          <w:tcPr>
            <w:tcW w:w="3317" w:type="dxa"/>
            <w:gridSpan w:val="2"/>
            <w:tcBorders>
              <w:top w:val="single" w:sz="12" w:space="0" w:color="000000"/>
              <w:bottom w:val="single" w:sz="12" w:space="0" w:color="000000"/>
            </w:tcBorders>
            <w:shd w:val="pct20" w:color="FFFFFF" w:fill="FFFFFF"/>
            <w:vAlign w:val="center"/>
          </w:tcPr>
          <w:p w14:paraId="6A51028B"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ICETEX   </w:t>
            </w:r>
          </w:p>
        </w:tc>
        <w:tc>
          <w:tcPr>
            <w:tcW w:w="5521" w:type="dxa"/>
            <w:tcBorders>
              <w:top w:val="single" w:sz="12" w:space="0" w:color="000000"/>
              <w:bottom w:val="single" w:sz="12" w:space="0" w:color="000000"/>
            </w:tcBorders>
            <w:shd w:val="pct20" w:color="FFFFFF" w:fill="FFFFFF"/>
            <w:vAlign w:val="center"/>
          </w:tcPr>
          <w:p w14:paraId="40DB7838"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Suministrar trimestralmente avance de ejecución del acuerdo No. 019 de 2013.</w:t>
            </w:r>
          </w:p>
        </w:tc>
      </w:tr>
      <w:tr w:rsidR="00CD459A" w:rsidRPr="00CD459A" w14:paraId="3E3E1CCA" w14:textId="77777777" w:rsidTr="00355F8E">
        <w:trPr>
          <w:jc w:val="center"/>
        </w:trPr>
        <w:tc>
          <w:tcPr>
            <w:tcW w:w="3317" w:type="dxa"/>
            <w:gridSpan w:val="2"/>
            <w:tcBorders>
              <w:top w:val="single" w:sz="12" w:space="0" w:color="000000"/>
              <w:bottom w:val="single" w:sz="12" w:space="0" w:color="000000"/>
            </w:tcBorders>
            <w:shd w:val="pct20" w:color="FFFFFF" w:fill="FFFFFF"/>
            <w:vAlign w:val="center"/>
          </w:tcPr>
          <w:p w14:paraId="169AA739"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Grupo de Contabilidad</w:t>
            </w:r>
          </w:p>
        </w:tc>
        <w:tc>
          <w:tcPr>
            <w:tcW w:w="5521" w:type="dxa"/>
            <w:tcBorders>
              <w:top w:val="single" w:sz="12" w:space="0" w:color="000000"/>
              <w:bottom w:val="single" w:sz="12" w:space="0" w:color="000000"/>
            </w:tcBorders>
            <w:shd w:val="pct20" w:color="FFFFFF" w:fill="FFFFFF"/>
            <w:vAlign w:val="center"/>
          </w:tcPr>
          <w:p w14:paraId="460DE044"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Recibir la información suministrada por el Banco de la Republica e ICETEX, para su correspondiente registro y revelación en los Estados Financieros del Sistema General de Regalias. </w:t>
            </w:r>
          </w:p>
          <w:p w14:paraId="1D617123"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Llevar a cabo el proceso de conciliación de los Otros Activos. </w:t>
            </w:r>
          </w:p>
        </w:tc>
      </w:tr>
      <w:tr w:rsidR="00CD459A" w:rsidRPr="00CD459A" w14:paraId="34E43FA7" w14:textId="77777777" w:rsidTr="00355F8E">
        <w:trPr>
          <w:jc w:val="center"/>
        </w:trPr>
        <w:tc>
          <w:tcPr>
            <w:tcW w:w="2347" w:type="dxa"/>
            <w:tcBorders>
              <w:top w:val="single" w:sz="12" w:space="0" w:color="auto"/>
              <w:bottom w:val="single" w:sz="12" w:space="0" w:color="000000"/>
            </w:tcBorders>
            <w:shd w:val="pct20" w:color="FFFFFF" w:fill="FFFFFF"/>
            <w:vAlign w:val="center"/>
          </w:tcPr>
          <w:p w14:paraId="6FE33963" w14:textId="77777777" w:rsidR="007C7EF4" w:rsidRPr="00CD459A" w:rsidRDefault="007C7EF4" w:rsidP="003B74CE">
            <w:pPr>
              <w:jc w:val="both"/>
              <w:rPr>
                <w:rFonts w:ascii="Verdana" w:hAnsi="Verdana" w:cs="Arial"/>
                <w:lang w:val="es-ES_tradnl" w:eastAsia="es-CO"/>
              </w:rPr>
            </w:pPr>
            <w:r w:rsidRPr="00CD459A">
              <w:rPr>
                <w:rFonts w:ascii="Verdana" w:hAnsi="Verdana" w:cs="Arial"/>
              </w:rPr>
              <w:t xml:space="preserve"> </w:t>
            </w:r>
            <w:r w:rsidRPr="00CD459A">
              <w:rPr>
                <w:rFonts w:ascii="Verdana" w:hAnsi="Verdana" w:cs="Arial"/>
                <w:lang w:val="es-ES_tradnl" w:eastAsia="es-CO"/>
              </w:rPr>
              <w:t>Grupo de Mesa de Dinero</w:t>
            </w:r>
          </w:p>
        </w:tc>
        <w:tc>
          <w:tcPr>
            <w:tcW w:w="6491" w:type="dxa"/>
            <w:gridSpan w:val="2"/>
            <w:tcBorders>
              <w:top w:val="single" w:sz="12" w:space="0" w:color="auto"/>
              <w:bottom w:val="single" w:sz="12" w:space="0" w:color="000000"/>
            </w:tcBorders>
            <w:shd w:val="pct20" w:color="FFFFFF" w:fill="FFFFFF"/>
            <w:vAlign w:val="center"/>
          </w:tcPr>
          <w:p w14:paraId="7B1D7A28" w14:textId="77777777" w:rsidR="007C7EF4" w:rsidRPr="00CD459A" w:rsidRDefault="007C7EF4" w:rsidP="00AB3D96">
            <w:pPr>
              <w:numPr>
                <w:ilvl w:val="0"/>
                <w:numId w:val="92"/>
              </w:numPr>
              <w:spacing w:after="0" w:line="240" w:lineRule="auto"/>
              <w:ind w:left="1368" w:hanging="426"/>
              <w:jc w:val="both"/>
              <w:rPr>
                <w:rFonts w:ascii="Verdana" w:hAnsi="Verdana" w:cs="Arial"/>
                <w:bCs/>
                <w:lang w:val="es-ES_tradnl" w:eastAsia="es-CO"/>
              </w:rPr>
            </w:pPr>
            <w:r w:rsidRPr="00CD459A">
              <w:rPr>
                <w:rFonts w:ascii="Verdana" w:hAnsi="Verdana" w:cs="Arial"/>
                <w:bCs/>
                <w:lang w:val="es-ES_tradnl" w:eastAsia="es-CO"/>
              </w:rPr>
              <w:t xml:space="preserve">Remitir el detalle de las operaciones realizadas con los excedentes de liquidez del Sistema General de Regalias.  </w:t>
            </w:r>
          </w:p>
        </w:tc>
      </w:tr>
    </w:tbl>
    <w:p w14:paraId="336AAB88" w14:textId="77777777" w:rsidR="007C7EF4" w:rsidRPr="00CD459A" w:rsidRDefault="007C7EF4" w:rsidP="007C7EF4">
      <w:pPr>
        <w:pStyle w:val="Textoindependiente"/>
        <w:ind w:right="249"/>
        <w:rPr>
          <w:rFonts w:ascii="Verdana" w:hAnsi="Verdana" w:cs="Arial"/>
          <w:sz w:val="22"/>
          <w:szCs w:val="22"/>
        </w:rPr>
      </w:pPr>
    </w:p>
    <w:p w14:paraId="1E434D49" w14:textId="77777777" w:rsidR="007C7EF4" w:rsidRPr="00CD459A" w:rsidRDefault="007C7EF4" w:rsidP="007C7EF4">
      <w:pPr>
        <w:suppressLineNumbers/>
        <w:tabs>
          <w:tab w:val="left" w:pos="-720"/>
        </w:tabs>
        <w:ind w:left="284" w:hanging="284"/>
        <w:jc w:val="both"/>
        <w:rPr>
          <w:rFonts w:ascii="Verdana" w:eastAsia="Calibri" w:hAnsi="Verdana" w:cs="Arial"/>
        </w:rPr>
      </w:pPr>
    </w:p>
    <w:tbl>
      <w:tblPr>
        <w:tblW w:w="8873" w:type="dxa"/>
        <w:tblInd w:w="177" w:type="dxa"/>
        <w:tblLayout w:type="fixed"/>
        <w:tblCellMar>
          <w:left w:w="0" w:type="dxa"/>
          <w:right w:w="0" w:type="dxa"/>
        </w:tblCellMar>
        <w:tblLook w:val="01E0" w:firstRow="1" w:lastRow="1" w:firstColumn="1" w:lastColumn="1" w:noHBand="0" w:noVBand="0"/>
      </w:tblPr>
      <w:tblGrid>
        <w:gridCol w:w="1985"/>
        <w:gridCol w:w="3404"/>
        <w:gridCol w:w="3484"/>
      </w:tblGrid>
      <w:tr w:rsidR="00CD459A" w:rsidRPr="00CD459A" w14:paraId="434ECA4C" w14:textId="77777777" w:rsidTr="003B74CE">
        <w:trPr>
          <w:trHeight w:hRule="exact" w:val="495"/>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16F8AAEF" w14:textId="77777777" w:rsidR="007C7EF4" w:rsidRPr="00CD459A" w:rsidRDefault="007C7EF4" w:rsidP="003B74CE">
            <w:pPr>
              <w:pStyle w:val="TableParagraph"/>
              <w:spacing w:before="81"/>
              <w:ind w:left="103" w:right="83"/>
              <w:jc w:val="center"/>
              <w:rPr>
                <w:rFonts w:ascii="Verdana" w:hAnsi="Verdana" w:cs="Arial"/>
                <w:b/>
                <w:bCs/>
              </w:rPr>
            </w:pPr>
            <w:r w:rsidRPr="00CD459A">
              <w:rPr>
                <w:rFonts w:ascii="Verdana" w:hAnsi="Verdana" w:cs="Arial"/>
                <w:b/>
                <w:bCs/>
              </w:rPr>
              <w:t>CLASE</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5CC25C41" w14:textId="77777777" w:rsidR="007C7EF4" w:rsidRPr="00CD459A" w:rsidRDefault="007C7EF4" w:rsidP="003B74CE">
            <w:pPr>
              <w:pStyle w:val="TableParagraph"/>
              <w:spacing w:before="81"/>
              <w:ind w:left="103" w:right="626"/>
              <w:jc w:val="center"/>
              <w:rPr>
                <w:rFonts w:ascii="Verdana" w:hAnsi="Verdana" w:cs="Arial"/>
                <w:b/>
                <w:bCs/>
              </w:rPr>
            </w:pPr>
            <w:r w:rsidRPr="00CD459A">
              <w:rPr>
                <w:rFonts w:ascii="Verdana" w:hAnsi="Verdana" w:cs="Arial"/>
                <w:b/>
                <w:bCs/>
              </w:rPr>
              <w:t>GRUPO</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275A03C1" w14:textId="77777777" w:rsidR="007C7EF4" w:rsidRPr="00CD459A" w:rsidRDefault="007C7EF4" w:rsidP="003B74CE">
            <w:pPr>
              <w:pStyle w:val="TableParagraph"/>
              <w:spacing w:before="81"/>
              <w:ind w:left="100" w:right="568"/>
              <w:jc w:val="center"/>
              <w:rPr>
                <w:rFonts w:ascii="Verdana" w:hAnsi="Verdana" w:cs="Arial"/>
                <w:b/>
                <w:bCs/>
              </w:rPr>
            </w:pPr>
            <w:r w:rsidRPr="00CD459A">
              <w:rPr>
                <w:rFonts w:ascii="Verdana" w:hAnsi="Verdana" w:cs="Arial"/>
                <w:b/>
                <w:bCs/>
              </w:rPr>
              <w:t>CUENTA</w:t>
            </w:r>
          </w:p>
        </w:tc>
      </w:tr>
      <w:tr w:rsidR="00CD459A" w:rsidRPr="00CD459A" w14:paraId="54AB6305"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0B38E84"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1</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436F2DAD"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19</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1B3829E1"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190801</w:t>
            </w:r>
          </w:p>
        </w:tc>
      </w:tr>
      <w:tr w:rsidR="00CD459A" w:rsidRPr="00CD459A" w14:paraId="778A1637" w14:textId="77777777" w:rsidTr="003B74CE">
        <w:trPr>
          <w:trHeight w:hRule="exact" w:val="1011"/>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E029F31"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ACTIVOS</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55A1F59D"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OTROS</w:t>
            </w:r>
            <w:r w:rsidRPr="00CD459A">
              <w:rPr>
                <w:rFonts w:ascii="Verdana" w:hAnsi="Verdana" w:cs="Arial"/>
                <w:spacing w:val="-4"/>
              </w:rPr>
              <w:t xml:space="preserve"> </w:t>
            </w:r>
            <w:r w:rsidRPr="00CD459A">
              <w:rPr>
                <w:rFonts w:ascii="Verdana" w:hAnsi="Verdana" w:cs="Arial"/>
              </w:rPr>
              <w:t>ACTIVOS</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41586792" w14:textId="77777777" w:rsidR="007C7EF4" w:rsidRPr="00CD459A" w:rsidRDefault="007C7EF4" w:rsidP="003B74CE">
            <w:pPr>
              <w:pStyle w:val="TableParagraph"/>
              <w:spacing w:before="80"/>
              <w:ind w:left="100" w:right="783"/>
              <w:jc w:val="both"/>
              <w:rPr>
                <w:rFonts w:ascii="Verdana" w:hAnsi="Verdana" w:cs="Arial"/>
              </w:rPr>
            </w:pPr>
            <w:r w:rsidRPr="00CD459A">
              <w:rPr>
                <w:rFonts w:ascii="Verdana" w:hAnsi="Verdana" w:cs="Arial"/>
              </w:rPr>
              <w:t>RECURSOS ENTREGADOS EN ADMINISTRACIÓN</w:t>
            </w:r>
          </w:p>
        </w:tc>
      </w:tr>
    </w:tbl>
    <w:p w14:paraId="07833571" w14:textId="77777777" w:rsidR="007C7EF4" w:rsidRPr="00CD459A" w:rsidRDefault="007C7EF4" w:rsidP="007C7EF4">
      <w:pPr>
        <w:suppressLineNumbers/>
        <w:tabs>
          <w:tab w:val="left" w:pos="-720"/>
        </w:tabs>
        <w:ind w:left="284" w:hanging="284"/>
        <w:jc w:val="both"/>
        <w:rPr>
          <w:rFonts w:ascii="Verdana" w:hAnsi="Verdana" w:cs="Arial"/>
        </w:rPr>
      </w:pPr>
    </w:p>
    <w:p w14:paraId="4FA5F47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16F1582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en pesos de los recursos entregados en administración por el Sistema General de Regalías. El componente de mayor impacto en esta cuenta corresponde a los depósitos remunerados por el Tesoro Nacional que son constituidos con los excedentes transitorios de liquidez,</w:t>
      </w:r>
      <w:r w:rsidRPr="00CD459A">
        <w:rPr>
          <w:rFonts w:ascii="Verdana" w:eastAsia="Calibri" w:hAnsi="Verdana" w:cs="Arial"/>
        </w:rPr>
        <w:t xml:space="preserve"> con el propósito de obtener rendimientos provenientes de los flujos contractuales del título durante su vigencia. Las condiciones en cuanto a vigencia y tasas se definen desde la emisión del título y son inmodificables, en condiciones normales se redimen la fecha de vencimiento con el traslado a la cuenta única de Sistema General de Regalías del capital más los rendimientos generados durante la vigencia a la tasa de interés pactada. De acuerdo con el marco normativo para entidades de gobierno, dadas las condiciones antes enunciadas los depósitos remunerados se deben valorar y reflejar en los estados contables del Sistema General de Regalías a costo amortizado.</w:t>
      </w:r>
    </w:p>
    <w:p w14:paraId="43CFF310" w14:textId="77777777" w:rsidR="007C7EF4" w:rsidRPr="00CD459A" w:rsidRDefault="007C7EF4" w:rsidP="007C7EF4">
      <w:pPr>
        <w:suppressLineNumbers/>
        <w:tabs>
          <w:tab w:val="left" w:pos="-720"/>
        </w:tabs>
        <w:ind w:left="284" w:hanging="284"/>
        <w:jc w:val="both"/>
        <w:rPr>
          <w:rFonts w:ascii="Verdana" w:hAnsi="Verdana" w:cs="Arial"/>
        </w:rPr>
      </w:pPr>
    </w:p>
    <w:p w14:paraId="1BAC824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MEDICIÓN INICIAL </w:t>
      </w:r>
    </w:p>
    <w:p w14:paraId="2D589357" w14:textId="77777777" w:rsidR="007C7EF4" w:rsidRPr="00CD459A" w:rsidRDefault="007C7EF4" w:rsidP="007C7EF4">
      <w:pPr>
        <w:jc w:val="both"/>
        <w:rPr>
          <w:rFonts w:ascii="Verdana" w:hAnsi="Verdana" w:cs="Arial"/>
        </w:rPr>
      </w:pPr>
      <w:r w:rsidRPr="00CD459A">
        <w:rPr>
          <w:rFonts w:ascii="Verdana" w:eastAsia="Calibri" w:hAnsi="Verdana" w:cs="Arial"/>
        </w:rPr>
        <w:t xml:space="preserve">En el momento de la emisión, los depósitos remunerados se deben reconocer y reflejar contablemente a valor de mercado, que corresponde al valor en pesos debitado de la cuenta única del Sistema General de Regalías. </w:t>
      </w:r>
      <w:r w:rsidRPr="00CD459A">
        <w:rPr>
          <w:rFonts w:ascii="Verdana" w:hAnsi="Verdana" w:cs="Arial"/>
        </w:rPr>
        <w:t xml:space="preserve"> </w:t>
      </w:r>
    </w:p>
    <w:p w14:paraId="3A19291A" w14:textId="77777777" w:rsidR="007C7EF4" w:rsidRPr="00CD459A" w:rsidRDefault="007C7EF4" w:rsidP="007C7EF4">
      <w:pPr>
        <w:jc w:val="both"/>
        <w:rPr>
          <w:rFonts w:ascii="Verdana" w:hAnsi="Verdana" w:cs="Arial"/>
        </w:rPr>
      </w:pPr>
    </w:p>
    <w:p w14:paraId="724AA2A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MEDICIÓN POSTERIOR </w:t>
      </w:r>
    </w:p>
    <w:p w14:paraId="33235599" w14:textId="77777777" w:rsidR="007C7EF4" w:rsidRPr="00CD459A" w:rsidRDefault="007C7EF4" w:rsidP="007C7EF4">
      <w:pPr>
        <w:jc w:val="both"/>
        <w:rPr>
          <w:rFonts w:ascii="Verdana" w:eastAsia="Calibri" w:hAnsi="Verdana" w:cs="Arial"/>
        </w:rPr>
      </w:pPr>
      <w:r w:rsidRPr="00CD459A">
        <w:rPr>
          <w:rFonts w:ascii="Verdana" w:eastAsia="Calibri" w:hAnsi="Verdana" w:cs="Arial"/>
        </w:rPr>
        <w:t>Con posterioridad al reconocimiento, las inversiones clasificadas en la categoría de costo amortizado se medirán al costo amortizado.</w:t>
      </w:r>
    </w:p>
    <w:p w14:paraId="6D979490"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El costo amortizado corresponde al valor inicialmente reconocido más el rendimiento efectivo, menos los pagos de capital e intereses, menos cualquier disminución por deterioro del valor.</w:t>
      </w:r>
    </w:p>
    <w:p w14:paraId="6B2B4B2D" w14:textId="77777777" w:rsidR="007C7EF4" w:rsidRPr="00CD459A" w:rsidRDefault="007C7EF4" w:rsidP="007C7EF4">
      <w:pPr>
        <w:jc w:val="both"/>
        <w:rPr>
          <w:rFonts w:ascii="Verdana" w:eastAsia="Calibri" w:hAnsi="Verdana" w:cs="Arial"/>
        </w:rPr>
      </w:pPr>
      <w:r w:rsidRPr="00CD459A">
        <w:rPr>
          <w:rFonts w:ascii="Verdana" w:eastAsia="Calibri" w:hAnsi="Verdana" w:cs="Arial"/>
        </w:rPr>
        <w:t>El rendimiento efectivo se calculará multiplicando el costo amortizado de la inversión por la tasa de interés efectiva.</w:t>
      </w:r>
    </w:p>
    <w:p w14:paraId="76EFE8B8"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 xml:space="preserve">La tasa de interés efectiva es aquella que hace equivalentes los flujos contractuales del título con su costo amortizado en la fecha de medición. El rendimiento efectivo se reconocerá como un mayor valor de la inversión y como un ingreso en el resultado del periodo. </w:t>
      </w:r>
    </w:p>
    <w:p w14:paraId="6CBFBFEB" w14:textId="77777777" w:rsidR="007C7EF4" w:rsidRPr="00CD459A" w:rsidRDefault="007C7EF4" w:rsidP="007C7EF4">
      <w:pPr>
        <w:autoSpaceDE w:val="0"/>
        <w:autoSpaceDN w:val="0"/>
        <w:adjustRightInd w:val="0"/>
        <w:jc w:val="both"/>
        <w:rPr>
          <w:rFonts w:ascii="Verdana" w:eastAsia="Calibri" w:hAnsi="Verdana" w:cs="Arial"/>
        </w:rPr>
      </w:pPr>
      <w:r w:rsidRPr="00CD459A">
        <w:rPr>
          <w:rFonts w:ascii="Verdana" w:eastAsia="Calibri" w:hAnsi="Verdana" w:cs="Arial"/>
        </w:rPr>
        <w:t xml:space="preserve">Los rendimientos recibidos reducirán el valor de la inversión, afectando el efectivo o equivalentes al efectivo de acuerdo con la contraprestación recibida. </w:t>
      </w:r>
    </w:p>
    <w:p w14:paraId="13329BED" w14:textId="77777777" w:rsidR="007C7EF4" w:rsidRPr="00CD459A" w:rsidRDefault="007C7EF4" w:rsidP="007C7EF4">
      <w:pPr>
        <w:jc w:val="both"/>
        <w:rPr>
          <w:rFonts w:ascii="Verdana" w:hAnsi="Verdana" w:cs="Arial"/>
        </w:rPr>
      </w:pPr>
      <w:r w:rsidRPr="00CD459A">
        <w:rPr>
          <w:rFonts w:ascii="Verdana" w:eastAsia="Calibri" w:hAnsi="Verdana" w:cs="Arial"/>
        </w:rPr>
        <w:t>Estas inversiones serán objeto de estimaciones de deterioro, cuando exista evidencia objetiva del incumplimiento de los pagos a cargo del emisor o del desmejoramiento de sus condiciones crediticias.</w:t>
      </w:r>
    </w:p>
    <w:p w14:paraId="179488D3" w14:textId="77777777" w:rsidR="007C7EF4" w:rsidRPr="00CD459A" w:rsidRDefault="007C7EF4" w:rsidP="007C7EF4">
      <w:pPr>
        <w:suppressLineNumbers/>
        <w:tabs>
          <w:tab w:val="left" w:pos="-720"/>
        </w:tabs>
        <w:ind w:left="284" w:hanging="284"/>
        <w:jc w:val="both"/>
        <w:rPr>
          <w:rFonts w:ascii="Verdana" w:hAnsi="Verdana" w:cs="Arial"/>
        </w:rPr>
      </w:pPr>
    </w:p>
    <w:p w14:paraId="3851C332"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07511A8F" w14:textId="77777777" w:rsidR="007C7EF4" w:rsidRPr="00CD459A" w:rsidRDefault="007C7EF4" w:rsidP="007C7EF4">
      <w:pPr>
        <w:suppressLineNumbers/>
        <w:tabs>
          <w:tab w:val="left" w:pos="-720"/>
        </w:tabs>
        <w:jc w:val="both"/>
        <w:rPr>
          <w:rFonts w:ascii="Verdana" w:eastAsia="Calibri" w:hAnsi="Verdana" w:cs="Arial"/>
        </w:rPr>
      </w:pPr>
      <w:r w:rsidRPr="00CD459A">
        <w:rPr>
          <w:rFonts w:ascii="Verdana" w:hAnsi="Verdana" w:cs="Arial"/>
        </w:rPr>
        <w:t xml:space="preserve">El grupo de la Mesa de Dinero remite la información extraída de sistema de portafolio financieros – PORFIN, del periodo determinado. </w:t>
      </w:r>
      <w:r w:rsidRPr="00CD459A">
        <w:rPr>
          <w:rFonts w:ascii="Verdana" w:eastAsia="Calibri" w:hAnsi="Verdana" w:cs="Arial"/>
        </w:rPr>
        <w:t xml:space="preserve"> </w:t>
      </w:r>
    </w:p>
    <w:p w14:paraId="4D748EC7" w14:textId="77777777" w:rsidR="007C7EF4" w:rsidRPr="00CD459A" w:rsidRDefault="007C7EF4" w:rsidP="007C7EF4">
      <w:pPr>
        <w:suppressLineNumbers/>
        <w:tabs>
          <w:tab w:val="left" w:pos="-720"/>
        </w:tabs>
        <w:ind w:left="284" w:hanging="284"/>
        <w:jc w:val="both"/>
        <w:rPr>
          <w:rFonts w:ascii="Verdana" w:eastAsia="Calibri" w:hAnsi="Verdana" w:cs="Arial"/>
        </w:rPr>
      </w:pPr>
    </w:p>
    <w:p w14:paraId="2179213D" w14:textId="4CA89D85" w:rsidR="007C7EF4" w:rsidRPr="00355F8E" w:rsidRDefault="007C7EF4" w:rsidP="00355F8E">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3EFCD82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los saldos contables de la constitución, redención y valoración neta de los Depósitos Remunerados, frente a la información remitida por la mesa de Dinero.</w:t>
      </w:r>
    </w:p>
    <w:p w14:paraId="04FD5CD0" w14:textId="77777777" w:rsidR="007C7EF4" w:rsidRPr="00CD459A" w:rsidRDefault="007C7EF4" w:rsidP="007C7EF4">
      <w:pPr>
        <w:suppressLineNumbers/>
        <w:tabs>
          <w:tab w:val="left" w:pos="-720"/>
        </w:tabs>
        <w:jc w:val="both"/>
        <w:rPr>
          <w:rFonts w:ascii="Verdana" w:hAnsi="Verdana" w:cs="Arial"/>
        </w:rPr>
      </w:pPr>
    </w:p>
    <w:p w14:paraId="06DE48B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1898745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cada Depósito remunerado vigente a la fecha de corte, se revelará la información suficiente para identificarlo como: Número de operación, Costo, Total Rendimientos, Valor final, Tasa, Fecha de emisión, Fecha de vencimiento, plazo, Costo, Valor rendimientos causados por recaudar.</w:t>
      </w:r>
    </w:p>
    <w:p w14:paraId="2BB3071E" w14:textId="77777777" w:rsidR="007C7EF4" w:rsidRPr="00CD459A" w:rsidRDefault="007C7EF4" w:rsidP="007C7EF4">
      <w:pPr>
        <w:suppressLineNumbers/>
        <w:tabs>
          <w:tab w:val="left" w:pos="-720"/>
        </w:tabs>
        <w:jc w:val="both"/>
        <w:rPr>
          <w:rFonts w:ascii="Verdana" w:hAnsi="Verdana" w:cs="Arial"/>
        </w:rPr>
      </w:pPr>
    </w:p>
    <w:p w14:paraId="0E24CC8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DINÁMICA </w:t>
      </w:r>
    </w:p>
    <w:p w14:paraId="34C6836D" w14:textId="77777777" w:rsidR="007C7EF4" w:rsidRPr="00CD459A" w:rsidRDefault="007C7EF4" w:rsidP="007C7EF4">
      <w:pPr>
        <w:suppressLineNumbers/>
        <w:tabs>
          <w:tab w:val="left" w:pos="-720"/>
        </w:tabs>
        <w:ind w:left="284" w:hanging="284"/>
        <w:jc w:val="both"/>
        <w:rPr>
          <w:rFonts w:ascii="Verdana" w:hAnsi="Verdana" w:cs="Arial"/>
        </w:rPr>
      </w:pPr>
    </w:p>
    <w:p w14:paraId="3EACAB2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012F3770" w14:textId="77777777" w:rsidR="007C7EF4" w:rsidRPr="00CD459A" w:rsidRDefault="007C7EF4" w:rsidP="007C7EF4">
      <w:pPr>
        <w:suppressLineNumbers/>
        <w:tabs>
          <w:tab w:val="left" w:pos="-720"/>
        </w:tabs>
        <w:ind w:left="284" w:hanging="284"/>
        <w:jc w:val="both"/>
        <w:rPr>
          <w:rFonts w:ascii="Verdana" w:hAnsi="Verdana" w:cs="Arial"/>
        </w:rPr>
      </w:pPr>
    </w:p>
    <w:p w14:paraId="0B6E7A9D" w14:textId="77777777" w:rsidR="007C7EF4" w:rsidRPr="00CD459A" w:rsidRDefault="007C7EF4" w:rsidP="00AB3D96">
      <w:pPr>
        <w:pStyle w:val="Prrafodelista"/>
        <w:numPr>
          <w:ilvl w:val="0"/>
          <w:numId w:val="36"/>
        </w:numPr>
        <w:spacing w:line="240" w:lineRule="auto"/>
        <w:jc w:val="both"/>
        <w:rPr>
          <w:rFonts w:ascii="Verdana" w:hAnsi="Verdana" w:cs="Arial"/>
        </w:rPr>
      </w:pPr>
      <w:r w:rsidRPr="00CD459A">
        <w:rPr>
          <w:rFonts w:ascii="Verdana" w:hAnsi="Verdana" w:cs="Arial"/>
        </w:rPr>
        <w:t>Por la Constitución del Depósito Remunerado, con crédito a la subcuenta 114001 – Cuenta Única Sistema General de Regalías.</w:t>
      </w:r>
    </w:p>
    <w:p w14:paraId="286291FC" w14:textId="77777777" w:rsidR="007C7EF4" w:rsidRPr="00CD459A" w:rsidRDefault="007C7EF4" w:rsidP="00AB3D96">
      <w:pPr>
        <w:pStyle w:val="Prrafodelista"/>
        <w:numPr>
          <w:ilvl w:val="0"/>
          <w:numId w:val="36"/>
        </w:numPr>
        <w:spacing w:line="240" w:lineRule="auto"/>
        <w:jc w:val="both"/>
        <w:rPr>
          <w:rFonts w:ascii="Verdana" w:hAnsi="Verdana" w:cs="Arial"/>
        </w:rPr>
      </w:pPr>
      <w:r w:rsidRPr="00CD459A">
        <w:rPr>
          <w:rFonts w:ascii="Verdana" w:hAnsi="Verdana" w:cs="Arial"/>
        </w:rPr>
        <w:t>Por el rendimiento efectivo de los Depósitos Remunerados, con crédito a la subcuenta 114001 – Cuenta Única Sistema General de Regalías.</w:t>
      </w:r>
    </w:p>
    <w:p w14:paraId="68873152" w14:textId="77777777" w:rsidR="007C7EF4" w:rsidRPr="00CD459A" w:rsidRDefault="007C7EF4" w:rsidP="007C7EF4">
      <w:pPr>
        <w:pStyle w:val="Prrafodelista"/>
        <w:suppressLineNumbers/>
        <w:tabs>
          <w:tab w:val="left" w:pos="-720"/>
        </w:tabs>
        <w:jc w:val="both"/>
        <w:rPr>
          <w:rFonts w:ascii="Verdana" w:hAnsi="Verdana" w:cs="Arial"/>
        </w:rPr>
      </w:pPr>
    </w:p>
    <w:p w14:paraId="257C04E6" w14:textId="77777777" w:rsidR="007C7EF4" w:rsidRPr="00CD459A" w:rsidRDefault="007C7EF4" w:rsidP="007C7EF4">
      <w:pPr>
        <w:pStyle w:val="Prrafodelista"/>
        <w:suppressLineNumbers/>
        <w:tabs>
          <w:tab w:val="left" w:pos="-720"/>
        </w:tabs>
        <w:jc w:val="both"/>
        <w:rPr>
          <w:rFonts w:ascii="Verdana" w:hAnsi="Verdana" w:cs="Arial"/>
        </w:rPr>
      </w:pPr>
    </w:p>
    <w:p w14:paraId="774FCBC5" w14:textId="77777777" w:rsidR="007C7EF4" w:rsidRPr="00CD459A" w:rsidRDefault="007C7EF4" w:rsidP="007C7EF4">
      <w:pPr>
        <w:suppressLineNumbers/>
        <w:tabs>
          <w:tab w:val="left" w:pos="-720"/>
        </w:tabs>
        <w:ind w:left="360"/>
        <w:jc w:val="both"/>
        <w:rPr>
          <w:rFonts w:ascii="Verdana" w:hAnsi="Verdana" w:cs="Arial"/>
        </w:rPr>
      </w:pPr>
      <w:r w:rsidRPr="00CD459A">
        <w:rPr>
          <w:rFonts w:ascii="Verdana" w:hAnsi="Verdana" w:cs="Arial"/>
        </w:rPr>
        <w:t xml:space="preserve">SE ACREDITA CON: </w:t>
      </w:r>
    </w:p>
    <w:p w14:paraId="4B4940A6" w14:textId="77777777" w:rsidR="007C7EF4" w:rsidRPr="00CD459A" w:rsidRDefault="007C7EF4" w:rsidP="007C7EF4">
      <w:pPr>
        <w:suppressLineNumbers/>
        <w:tabs>
          <w:tab w:val="left" w:pos="-720"/>
        </w:tabs>
        <w:ind w:left="360"/>
        <w:jc w:val="both"/>
        <w:rPr>
          <w:rFonts w:ascii="Verdana" w:hAnsi="Verdana" w:cs="Arial"/>
        </w:rPr>
      </w:pPr>
    </w:p>
    <w:p w14:paraId="5441F25A" w14:textId="77777777" w:rsidR="007C7EF4" w:rsidRPr="00CD459A" w:rsidRDefault="007C7EF4" w:rsidP="00AB3D96">
      <w:pPr>
        <w:pStyle w:val="Prrafodelista"/>
        <w:numPr>
          <w:ilvl w:val="0"/>
          <w:numId w:val="36"/>
        </w:numPr>
        <w:suppressLineNumbers/>
        <w:tabs>
          <w:tab w:val="left" w:pos="-720"/>
        </w:tabs>
        <w:spacing w:line="240" w:lineRule="auto"/>
        <w:jc w:val="both"/>
        <w:rPr>
          <w:rFonts w:ascii="Verdana" w:hAnsi="Verdana" w:cs="Arial"/>
        </w:rPr>
      </w:pPr>
      <w:r w:rsidRPr="00CD459A">
        <w:rPr>
          <w:rFonts w:ascii="Verdana" w:hAnsi="Verdana" w:cs="Arial"/>
        </w:rPr>
        <w:t>Por la Redención del Depósito Remunerado, con debito a la subcuenta 114001 – Cuenta Única Sistema General de Regalías</w:t>
      </w:r>
    </w:p>
    <w:p w14:paraId="00FB3C91" w14:textId="77777777" w:rsidR="007C7EF4" w:rsidRPr="00CD459A" w:rsidRDefault="007C7EF4" w:rsidP="007C7EF4">
      <w:pPr>
        <w:pStyle w:val="Textoindependiente"/>
        <w:rPr>
          <w:rFonts w:ascii="Verdana" w:hAnsi="Verdana" w:cs="Arial"/>
          <w:sz w:val="22"/>
          <w:szCs w:val="22"/>
        </w:rPr>
      </w:pPr>
    </w:p>
    <w:p w14:paraId="414F404C" w14:textId="77777777" w:rsidR="007C7EF4" w:rsidRPr="00CD459A" w:rsidRDefault="007C7EF4" w:rsidP="007C7EF4">
      <w:pPr>
        <w:pStyle w:val="Textoindependiente"/>
        <w:rPr>
          <w:rFonts w:ascii="Verdana" w:hAnsi="Verdana" w:cs="Arial"/>
          <w:sz w:val="22"/>
          <w:szCs w:val="22"/>
        </w:rPr>
      </w:pPr>
    </w:p>
    <w:tbl>
      <w:tblPr>
        <w:tblW w:w="0" w:type="auto"/>
        <w:tblInd w:w="10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3"/>
        <w:gridCol w:w="3409"/>
        <w:gridCol w:w="3481"/>
      </w:tblGrid>
      <w:tr w:rsidR="00CD459A" w:rsidRPr="00CD459A" w14:paraId="5A62BF11" w14:textId="77777777" w:rsidTr="003B74CE">
        <w:trPr>
          <w:trHeight w:val="484"/>
        </w:trPr>
        <w:tc>
          <w:tcPr>
            <w:tcW w:w="1983" w:type="dxa"/>
            <w:shd w:val="clear" w:color="auto" w:fill="auto"/>
          </w:tcPr>
          <w:p w14:paraId="1862713D" w14:textId="77777777" w:rsidR="007C7EF4" w:rsidRPr="00CD459A" w:rsidRDefault="007C7EF4" w:rsidP="003B74CE">
            <w:pPr>
              <w:pStyle w:val="TableParagraph"/>
              <w:spacing w:before="78"/>
              <w:ind w:left="105"/>
              <w:jc w:val="center"/>
              <w:rPr>
                <w:rFonts w:ascii="Verdana" w:hAnsi="Verdana" w:cs="Arial"/>
                <w:b/>
                <w:bCs/>
              </w:rPr>
            </w:pPr>
            <w:r w:rsidRPr="00CD459A">
              <w:rPr>
                <w:rFonts w:ascii="Verdana" w:hAnsi="Verdana" w:cs="Arial"/>
                <w:b/>
                <w:bCs/>
              </w:rPr>
              <w:t>CLASE</w:t>
            </w:r>
          </w:p>
        </w:tc>
        <w:tc>
          <w:tcPr>
            <w:tcW w:w="3409" w:type="dxa"/>
            <w:shd w:val="clear" w:color="auto" w:fill="auto"/>
          </w:tcPr>
          <w:p w14:paraId="139EF6FF" w14:textId="77777777" w:rsidR="007C7EF4" w:rsidRPr="00CD459A" w:rsidRDefault="007C7EF4" w:rsidP="003B74CE">
            <w:pPr>
              <w:pStyle w:val="TableParagraph"/>
              <w:spacing w:before="78"/>
              <w:ind w:left="110"/>
              <w:jc w:val="center"/>
              <w:rPr>
                <w:rFonts w:ascii="Verdana" w:hAnsi="Verdana" w:cs="Arial"/>
                <w:b/>
                <w:bCs/>
              </w:rPr>
            </w:pPr>
            <w:r w:rsidRPr="00CD459A">
              <w:rPr>
                <w:rFonts w:ascii="Verdana" w:hAnsi="Verdana" w:cs="Arial"/>
                <w:b/>
                <w:bCs/>
              </w:rPr>
              <w:t>GRUPO</w:t>
            </w:r>
          </w:p>
        </w:tc>
        <w:tc>
          <w:tcPr>
            <w:tcW w:w="3481" w:type="dxa"/>
            <w:shd w:val="clear" w:color="auto" w:fill="auto"/>
          </w:tcPr>
          <w:p w14:paraId="54765333" w14:textId="77777777" w:rsidR="007C7EF4" w:rsidRPr="00CD459A" w:rsidRDefault="007C7EF4" w:rsidP="003B74CE">
            <w:pPr>
              <w:pStyle w:val="TableParagraph"/>
              <w:spacing w:before="78"/>
              <w:ind w:left="106"/>
              <w:jc w:val="center"/>
              <w:rPr>
                <w:rFonts w:ascii="Verdana" w:hAnsi="Verdana" w:cs="Arial"/>
                <w:b/>
                <w:bCs/>
              </w:rPr>
            </w:pPr>
            <w:r w:rsidRPr="00CD459A">
              <w:rPr>
                <w:rFonts w:ascii="Verdana" w:hAnsi="Verdana" w:cs="Arial"/>
                <w:b/>
                <w:bCs/>
              </w:rPr>
              <w:t>CUENTA</w:t>
            </w:r>
          </w:p>
        </w:tc>
      </w:tr>
      <w:tr w:rsidR="00CD459A" w:rsidRPr="00CD459A" w14:paraId="27A6B202" w14:textId="77777777" w:rsidTr="003B74CE">
        <w:trPr>
          <w:trHeight w:val="484"/>
        </w:trPr>
        <w:tc>
          <w:tcPr>
            <w:tcW w:w="1983" w:type="dxa"/>
            <w:shd w:val="clear" w:color="auto" w:fill="auto"/>
          </w:tcPr>
          <w:p w14:paraId="1948CC77" w14:textId="77777777" w:rsidR="007C7EF4" w:rsidRPr="00CD459A" w:rsidRDefault="007C7EF4" w:rsidP="003B74CE">
            <w:pPr>
              <w:pStyle w:val="TableParagraph"/>
              <w:spacing w:before="83"/>
              <w:ind w:left="105"/>
              <w:jc w:val="both"/>
              <w:rPr>
                <w:rFonts w:ascii="Verdana" w:hAnsi="Verdana" w:cs="Arial"/>
              </w:rPr>
            </w:pPr>
            <w:r w:rsidRPr="00CD459A">
              <w:rPr>
                <w:rFonts w:ascii="Verdana" w:hAnsi="Verdana" w:cs="Arial"/>
              </w:rPr>
              <w:t>1</w:t>
            </w:r>
          </w:p>
        </w:tc>
        <w:tc>
          <w:tcPr>
            <w:tcW w:w="3409" w:type="dxa"/>
            <w:shd w:val="clear" w:color="auto" w:fill="auto"/>
          </w:tcPr>
          <w:p w14:paraId="18D8AA2E" w14:textId="77777777" w:rsidR="007C7EF4" w:rsidRPr="00CD459A" w:rsidRDefault="007C7EF4" w:rsidP="003B74CE">
            <w:pPr>
              <w:pStyle w:val="TableParagraph"/>
              <w:spacing w:before="83"/>
              <w:ind w:left="110"/>
              <w:jc w:val="both"/>
              <w:rPr>
                <w:rFonts w:ascii="Verdana" w:hAnsi="Verdana" w:cs="Arial"/>
              </w:rPr>
            </w:pPr>
            <w:r w:rsidRPr="00CD459A">
              <w:rPr>
                <w:rFonts w:ascii="Verdana" w:hAnsi="Verdana" w:cs="Arial"/>
              </w:rPr>
              <w:t>19</w:t>
            </w:r>
          </w:p>
        </w:tc>
        <w:tc>
          <w:tcPr>
            <w:tcW w:w="3481" w:type="dxa"/>
            <w:shd w:val="clear" w:color="auto" w:fill="auto"/>
          </w:tcPr>
          <w:p w14:paraId="4B055BFC" w14:textId="77777777" w:rsidR="007C7EF4" w:rsidRPr="00CD459A" w:rsidRDefault="007C7EF4" w:rsidP="003B74CE">
            <w:pPr>
              <w:pStyle w:val="TableParagraph"/>
              <w:spacing w:before="83"/>
              <w:ind w:left="106"/>
              <w:jc w:val="both"/>
              <w:rPr>
                <w:rFonts w:ascii="Verdana" w:hAnsi="Verdana" w:cs="Arial"/>
              </w:rPr>
            </w:pPr>
            <w:r w:rsidRPr="00CD459A">
              <w:rPr>
                <w:rFonts w:ascii="Verdana" w:hAnsi="Verdana" w:cs="Arial"/>
              </w:rPr>
              <w:t>192603</w:t>
            </w:r>
          </w:p>
        </w:tc>
      </w:tr>
      <w:tr w:rsidR="00CD459A" w:rsidRPr="00CD459A" w14:paraId="05C1F933" w14:textId="77777777" w:rsidTr="003B74CE">
        <w:trPr>
          <w:trHeight w:val="998"/>
        </w:trPr>
        <w:tc>
          <w:tcPr>
            <w:tcW w:w="1983" w:type="dxa"/>
            <w:shd w:val="clear" w:color="auto" w:fill="auto"/>
          </w:tcPr>
          <w:p w14:paraId="4107B9F0" w14:textId="77777777" w:rsidR="007C7EF4" w:rsidRPr="00CD459A" w:rsidRDefault="007C7EF4" w:rsidP="003B74CE">
            <w:pPr>
              <w:pStyle w:val="TableParagraph"/>
              <w:spacing w:before="78"/>
              <w:ind w:left="105"/>
              <w:jc w:val="both"/>
              <w:rPr>
                <w:rFonts w:ascii="Verdana" w:hAnsi="Verdana" w:cs="Arial"/>
              </w:rPr>
            </w:pPr>
            <w:r w:rsidRPr="00CD459A">
              <w:rPr>
                <w:rFonts w:ascii="Verdana" w:hAnsi="Verdana" w:cs="Arial"/>
              </w:rPr>
              <w:t>ACTIVOS</w:t>
            </w:r>
          </w:p>
        </w:tc>
        <w:tc>
          <w:tcPr>
            <w:tcW w:w="3409" w:type="dxa"/>
            <w:shd w:val="clear" w:color="auto" w:fill="auto"/>
          </w:tcPr>
          <w:p w14:paraId="60750367" w14:textId="77777777" w:rsidR="007C7EF4" w:rsidRPr="00CD459A" w:rsidRDefault="007C7EF4" w:rsidP="003B74CE">
            <w:pPr>
              <w:pStyle w:val="TableParagraph"/>
              <w:spacing w:before="78"/>
              <w:ind w:left="110"/>
              <w:jc w:val="both"/>
              <w:rPr>
                <w:rFonts w:ascii="Verdana" w:hAnsi="Verdana" w:cs="Arial"/>
              </w:rPr>
            </w:pPr>
            <w:r w:rsidRPr="00CD459A">
              <w:rPr>
                <w:rFonts w:ascii="Verdana" w:hAnsi="Verdana" w:cs="Arial"/>
              </w:rPr>
              <w:t>OTROS</w:t>
            </w:r>
            <w:r w:rsidRPr="00CD459A">
              <w:rPr>
                <w:rFonts w:ascii="Verdana" w:hAnsi="Verdana" w:cs="Arial"/>
                <w:spacing w:val="-10"/>
              </w:rPr>
              <w:t xml:space="preserve"> </w:t>
            </w:r>
            <w:r w:rsidRPr="00CD459A">
              <w:rPr>
                <w:rFonts w:ascii="Verdana" w:hAnsi="Verdana" w:cs="Arial"/>
              </w:rPr>
              <w:t>ACTIVOS</w:t>
            </w:r>
          </w:p>
        </w:tc>
        <w:tc>
          <w:tcPr>
            <w:tcW w:w="3481" w:type="dxa"/>
            <w:shd w:val="clear" w:color="auto" w:fill="auto"/>
          </w:tcPr>
          <w:p w14:paraId="041070BF" w14:textId="77777777" w:rsidR="007C7EF4" w:rsidRPr="00CD459A" w:rsidRDefault="007C7EF4" w:rsidP="003B74CE">
            <w:pPr>
              <w:pStyle w:val="TableParagraph"/>
              <w:spacing w:before="78"/>
              <w:ind w:left="106" w:right="776"/>
              <w:jc w:val="both"/>
              <w:rPr>
                <w:rFonts w:ascii="Verdana" w:hAnsi="Verdana" w:cs="Arial"/>
              </w:rPr>
            </w:pPr>
            <w:r w:rsidRPr="00CD459A">
              <w:rPr>
                <w:rFonts w:ascii="Verdana" w:hAnsi="Verdana" w:cs="Arial"/>
              </w:rPr>
              <w:t>FIDUCIA MERCANTIL - PATRIMONIO AUTÓNOMO</w:t>
            </w:r>
          </w:p>
        </w:tc>
      </w:tr>
    </w:tbl>
    <w:p w14:paraId="7D81DAA3" w14:textId="77777777" w:rsidR="007C7EF4" w:rsidRPr="00CD459A" w:rsidRDefault="007C7EF4" w:rsidP="007C7EF4">
      <w:pPr>
        <w:pStyle w:val="Textoindependiente"/>
        <w:rPr>
          <w:rFonts w:ascii="Verdana" w:hAnsi="Verdana" w:cs="Arial"/>
          <w:sz w:val="22"/>
          <w:szCs w:val="22"/>
        </w:rPr>
      </w:pPr>
    </w:p>
    <w:p w14:paraId="79AD997F" w14:textId="77777777" w:rsidR="007C7EF4" w:rsidRPr="00CD459A" w:rsidRDefault="007C7EF4" w:rsidP="007C7EF4">
      <w:pPr>
        <w:pStyle w:val="Textoindependiente"/>
        <w:spacing w:before="7"/>
        <w:rPr>
          <w:rFonts w:ascii="Verdana" w:hAnsi="Verdana" w:cs="Arial"/>
          <w:sz w:val="22"/>
          <w:szCs w:val="22"/>
        </w:rPr>
      </w:pPr>
    </w:p>
    <w:p w14:paraId="13E687C3" w14:textId="77777777" w:rsidR="007C7EF4" w:rsidRPr="00CD459A" w:rsidRDefault="007C7EF4" w:rsidP="007C7EF4">
      <w:pPr>
        <w:pStyle w:val="Textoindependiente"/>
        <w:spacing w:before="56"/>
        <w:ind w:left="899"/>
        <w:rPr>
          <w:rFonts w:ascii="Verdana" w:hAnsi="Verdana" w:cs="Arial"/>
          <w:sz w:val="22"/>
          <w:szCs w:val="22"/>
        </w:rPr>
      </w:pPr>
      <w:r w:rsidRPr="00CD459A">
        <w:rPr>
          <w:rFonts w:ascii="Verdana" w:hAnsi="Verdana" w:cs="Arial"/>
          <w:sz w:val="22"/>
          <w:szCs w:val="22"/>
        </w:rPr>
        <w:t>DESCRIPCIÓN</w:t>
      </w:r>
    </w:p>
    <w:p w14:paraId="0DF3099A" w14:textId="77777777" w:rsidR="007C7EF4" w:rsidRPr="00CD459A" w:rsidRDefault="007C7EF4" w:rsidP="007C7EF4">
      <w:pPr>
        <w:pStyle w:val="Textoindependiente"/>
        <w:rPr>
          <w:rFonts w:ascii="Verdana" w:hAnsi="Verdana" w:cs="Arial"/>
          <w:sz w:val="22"/>
          <w:szCs w:val="22"/>
        </w:rPr>
      </w:pPr>
    </w:p>
    <w:p w14:paraId="3FC4108B" w14:textId="77777777" w:rsidR="007C7EF4" w:rsidRPr="00CD459A" w:rsidRDefault="007C7EF4" w:rsidP="007C7EF4">
      <w:pPr>
        <w:pStyle w:val="Textoindependiente"/>
        <w:ind w:left="899" w:right="1281"/>
        <w:rPr>
          <w:rFonts w:ascii="Verdana" w:hAnsi="Verdana" w:cs="Arial"/>
          <w:sz w:val="22"/>
          <w:szCs w:val="22"/>
        </w:rPr>
      </w:pPr>
      <w:r w:rsidRPr="00CD459A">
        <w:rPr>
          <w:rFonts w:ascii="Verdana" w:hAnsi="Verdana" w:cs="Arial"/>
          <w:sz w:val="22"/>
          <w:szCs w:val="22"/>
        </w:rPr>
        <w:t>Refleja el valor en pesos del Fondo de Ahorro y</w:t>
      </w:r>
      <w:r w:rsidRPr="00CD459A">
        <w:rPr>
          <w:rFonts w:ascii="Verdana" w:hAnsi="Verdana" w:cs="Arial"/>
          <w:spacing w:val="1"/>
          <w:sz w:val="22"/>
          <w:szCs w:val="22"/>
        </w:rPr>
        <w:t xml:space="preserve"> </w:t>
      </w:r>
      <w:r w:rsidRPr="00CD459A">
        <w:rPr>
          <w:rFonts w:ascii="Verdana" w:hAnsi="Verdana" w:cs="Arial"/>
          <w:sz w:val="22"/>
          <w:szCs w:val="22"/>
        </w:rPr>
        <w:t>estabilización – FAE que administra el Banco de la República en dólares americanos, este valor se</w:t>
      </w:r>
      <w:r w:rsidRPr="00CD459A">
        <w:rPr>
          <w:rFonts w:ascii="Verdana" w:hAnsi="Verdana" w:cs="Arial"/>
          <w:spacing w:val="1"/>
          <w:sz w:val="22"/>
          <w:szCs w:val="22"/>
        </w:rPr>
        <w:t xml:space="preserve"> </w:t>
      </w:r>
      <w:r w:rsidRPr="00CD459A">
        <w:rPr>
          <w:rFonts w:ascii="Verdana" w:hAnsi="Verdana" w:cs="Arial"/>
          <w:sz w:val="22"/>
          <w:szCs w:val="22"/>
        </w:rPr>
        <w:t>refleja</w:t>
      </w:r>
      <w:r w:rsidRPr="00CD459A">
        <w:rPr>
          <w:rFonts w:ascii="Verdana" w:hAnsi="Verdana" w:cs="Arial"/>
          <w:spacing w:val="-2"/>
          <w:sz w:val="22"/>
          <w:szCs w:val="22"/>
        </w:rPr>
        <w:t xml:space="preserve"> </w:t>
      </w:r>
      <w:r w:rsidRPr="00CD459A">
        <w:rPr>
          <w:rFonts w:ascii="Verdana" w:hAnsi="Verdana" w:cs="Arial"/>
          <w:sz w:val="22"/>
          <w:szCs w:val="22"/>
        </w:rPr>
        <w:t>a</w:t>
      </w:r>
      <w:r w:rsidRPr="00CD459A">
        <w:rPr>
          <w:rFonts w:ascii="Verdana" w:hAnsi="Verdana" w:cs="Arial"/>
          <w:spacing w:val="-2"/>
          <w:sz w:val="22"/>
          <w:szCs w:val="22"/>
        </w:rPr>
        <w:t xml:space="preserve"> </w:t>
      </w:r>
      <w:r w:rsidRPr="00CD459A">
        <w:rPr>
          <w:rFonts w:ascii="Verdana" w:hAnsi="Verdana" w:cs="Arial"/>
          <w:sz w:val="22"/>
          <w:szCs w:val="22"/>
        </w:rPr>
        <w:t>la</w:t>
      </w:r>
      <w:r w:rsidRPr="00CD459A">
        <w:rPr>
          <w:rFonts w:ascii="Verdana" w:hAnsi="Verdana" w:cs="Arial"/>
          <w:spacing w:val="-2"/>
          <w:sz w:val="22"/>
          <w:szCs w:val="22"/>
        </w:rPr>
        <w:t xml:space="preserve"> </w:t>
      </w:r>
      <w:r w:rsidRPr="00CD459A">
        <w:rPr>
          <w:rFonts w:ascii="Verdana" w:hAnsi="Verdana" w:cs="Arial"/>
          <w:sz w:val="22"/>
          <w:szCs w:val="22"/>
        </w:rPr>
        <w:t>TRM</w:t>
      </w:r>
      <w:r w:rsidRPr="00CD459A">
        <w:rPr>
          <w:rFonts w:ascii="Verdana" w:hAnsi="Verdana" w:cs="Arial"/>
          <w:spacing w:val="-4"/>
          <w:sz w:val="22"/>
          <w:szCs w:val="22"/>
        </w:rPr>
        <w:t xml:space="preserve"> </w:t>
      </w:r>
      <w:r w:rsidRPr="00CD459A">
        <w:rPr>
          <w:rFonts w:ascii="Verdana" w:hAnsi="Verdana" w:cs="Arial"/>
          <w:sz w:val="22"/>
          <w:szCs w:val="22"/>
        </w:rPr>
        <w:t>del último</w:t>
      </w:r>
      <w:r w:rsidRPr="00CD459A">
        <w:rPr>
          <w:rFonts w:ascii="Verdana" w:hAnsi="Verdana" w:cs="Arial"/>
          <w:spacing w:val="-3"/>
          <w:sz w:val="22"/>
          <w:szCs w:val="22"/>
        </w:rPr>
        <w:t xml:space="preserve"> </w:t>
      </w:r>
      <w:r w:rsidRPr="00CD459A">
        <w:rPr>
          <w:rFonts w:ascii="Verdana" w:hAnsi="Verdana" w:cs="Arial"/>
          <w:sz w:val="22"/>
          <w:szCs w:val="22"/>
        </w:rPr>
        <w:t>día</w:t>
      </w:r>
      <w:r w:rsidRPr="00CD459A">
        <w:rPr>
          <w:rFonts w:ascii="Verdana" w:hAnsi="Verdana" w:cs="Arial"/>
          <w:spacing w:val="-2"/>
          <w:sz w:val="22"/>
          <w:szCs w:val="22"/>
        </w:rPr>
        <w:t xml:space="preserve"> </w:t>
      </w:r>
      <w:r w:rsidRPr="00CD459A">
        <w:rPr>
          <w:rFonts w:ascii="Verdana" w:hAnsi="Verdana" w:cs="Arial"/>
          <w:sz w:val="22"/>
          <w:szCs w:val="22"/>
        </w:rPr>
        <w:t>hábil de</w:t>
      </w:r>
      <w:r w:rsidRPr="00CD459A">
        <w:rPr>
          <w:rFonts w:ascii="Verdana" w:hAnsi="Verdana" w:cs="Arial"/>
          <w:spacing w:val="-2"/>
          <w:sz w:val="22"/>
          <w:szCs w:val="22"/>
        </w:rPr>
        <w:t xml:space="preserve"> </w:t>
      </w:r>
      <w:r w:rsidRPr="00CD459A">
        <w:rPr>
          <w:rFonts w:ascii="Verdana" w:hAnsi="Verdana" w:cs="Arial"/>
          <w:sz w:val="22"/>
          <w:szCs w:val="22"/>
        </w:rPr>
        <w:t>cada</w:t>
      </w:r>
      <w:r w:rsidRPr="00CD459A">
        <w:rPr>
          <w:rFonts w:ascii="Verdana" w:hAnsi="Verdana" w:cs="Arial"/>
          <w:spacing w:val="-2"/>
          <w:sz w:val="22"/>
          <w:szCs w:val="22"/>
        </w:rPr>
        <w:t xml:space="preserve"> </w:t>
      </w:r>
      <w:r w:rsidRPr="00CD459A">
        <w:rPr>
          <w:rFonts w:ascii="Verdana" w:hAnsi="Verdana" w:cs="Arial"/>
          <w:sz w:val="22"/>
          <w:szCs w:val="22"/>
        </w:rPr>
        <w:t>periodo.</w:t>
      </w:r>
    </w:p>
    <w:p w14:paraId="5FBB75CB" w14:textId="77777777" w:rsidR="007C7EF4" w:rsidRPr="00CD459A" w:rsidRDefault="007C7EF4" w:rsidP="007C7EF4">
      <w:pPr>
        <w:pStyle w:val="Textoindependiente"/>
        <w:spacing w:before="2"/>
        <w:rPr>
          <w:rFonts w:ascii="Verdana" w:hAnsi="Verdana" w:cs="Arial"/>
          <w:sz w:val="22"/>
          <w:szCs w:val="22"/>
        </w:rPr>
      </w:pPr>
    </w:p>
    <w:p w14:paraId="35A2C9A8"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MEDICIÓN</w:t>
      </w:r>
      <w:r w:rsidRPr="00CD459A">
        <w:rPr>
          <w:rFonts w:ascii="Verdana" w:hAnsi="Verdana" w:cs="Arial"/>
          <w:spacing w:val="-3"/>
          <w:sz w:val="22"/>
          <w:szCs w:val="22"/>
        </w:rPr>
        <w:t xml:space="preserve"> </w:t>
      </w:r>
      <w:r w:rsidRPr="00CD459A">
        <w:rPr>
          <w:rFonts w:ascii="Verdana" w:hAnsi="Verdana" w:cs="Arial"/>
          <w:sz w:val="22"/>
          <w:szCs w:val="22"/>
        </w:rPr>
        <w:t>INICIAL</w:t>
      </w:r>
    </w:p>
    <w:p w14:paraId="411F14DD" w14:textId="77777777" w:rsidR="007C7EF4" w:rsidRPr="00CD459A" w:rsidRDefault="007C7EF4" w:rsidP="007C7EF4">
      <w:pPr>
        <w:pStyle w:val="Textoindependiente"/>
        <w:rPr>
          <w:rFonts w:ascii="Verdana" w:hAnsi="Verdana" w:cs="Arial"/>
          <w:sz w:val="22"/>
          <w:szCs w:val="22"/>
        </w:rPr>
      </w:pPr>
    </w:p>
    <w:p w14:paraId="60702C2A" w14:textId="77777777" w:rsidR="007C7EF4" w:rsidRPr="00CD459A" w:rsidRDefault="007C7EF4" w:rsidP="007C7EF4">
      <w:pPr>
        <w:pStyle w:val="Textoindependiente"/>
        <w:spacing w:before="1"/>
        <w:ind w:left="899" w:right="1285"/>
        <w:rPr>
          <w:rFonts w:ascii="Verdana" w:hAnsi="Verdana" w:cs="Arial"/>
          <w:sz w:val="22"/>
          <w:szCs w:val="22"/>
        </w:rPr>
      </w:pPr>
      <w:r w:rsidRPr="00CD459A">
        <w:rPr>
          <w:rFonts w:ascii="Verdana" w:hAnsi="Verdana" w:cs="Arial"/>
          <w:sz w:val="22"/>
          <w:szCs w:val="22"/>
        </w:rPr>
        <w:t>El reconocimiento está dado por las operaciones que afecten el Fondo de Ahorro y estabilización</w:t>
      </w:r>
      <w:r w:rsidRPr="00CD459A">
        <w:rPr>
          <w:rFonts w:ascii="Verdana" w:hAnsi="Verdana" w:cs="Arial"/>
          <w:spacing w:val="1"/>
          <w:sz w:val="22"/>
          <w:szCs w:val="22"/>
        </w:rPr>
        <w:t xml:space="preserve"> </w:t>
      </w:r>
      <w:r w:rsidRPr="00CD459A">
        <w:rPr>
          <w:rFonts w:ascii="Verdana" w:hAnsi="Verdana" w:cs="Arial"/>
          <w:sz w:val="22"/>
          <w:szCs w:val="22"/>
        </w:rPr>
        <w:t>FAE</w:t>
      </w:r>
      <w:r w:rsidRPr="00CD459A">
        <w:rPr>
          <w:rFonts w:ascii="Verdana" w:hAnsi="Verdana" w:cs="Arial"/>
          <w:spacing w:val="-6"/>
          <w:sz w:val="22"/>
          <w:szCs w:val="22"/>
        </w:rPr>
        <w:t xml:space="preserve"> </w:t>
      </w:r>
      <w:r w:rsidRPr="00CD459A">
        <w:rPr>
          <w:rFonts w:ascii="Verdana" w:hAnsi="Verdana" w:cs="Arial"/>
          <w:sz w:val="22"/>
          <w:szCs w:val="22"/>
        </w:rPr>
        <w:t>como</w:t>
      </w:r>
      <w:r w:rsidRPr="00CD459A">
        <w:rPr>
          <w:rFonts w:ascii="Verdana" w:hAnsi="Verdana" w:cs="Arial"/>
          <w:spacing w:val="-3"/>
          <w:sz w:val="22"/>
          <w:szCs w:val="22"/>
        </w:rPr>
        <w:t xml:space="preserve"> </w:t>
      </w:r>
      <w:r w:rsidRPr="00CD459A">
        <w:rPr>
          <w:rFonts w:ascii="Verdana" w:hAnsi="Verdana" w:cs="Arial"/>
          <w:sz w:val="22"/>
          <w:szCs w:val="22"/>
        </w:rPr>
        <w:t>lo</w:t>
      </w:r>
      <w:r w:rsidRPr="00CD459A">
        <w:rPr>
          <w:rFonts w:ascii="Verdana" w:hAnsi="Verdana" w:cs="Arial"/>
          <w:spacing w:val="-3"/>
          <w:sz w:val="22"/>
          <w:szCs w:val="22"/>
        </w:rPr>
        <w:t xml:space="preserve"> </w:t>
      </w:r>
      <w:r w:rsidRPr="00CD459A">
        <w:rPr>
          <w:rFonts w:ascii="Verdana" w:hAnsi="Verdana" w:cs="Arial"/>
          <w:sz w:val="22"/>
          <w:szCs w:val="22"/>
        </w:rPr>
        <w:t>son:</w:t>
      </w:r>
      <w:r w:rsidRPr="00CD459A">
        <w:rPr>
          <w:rFonts w:ascii="Verdana" w:hAnsi="Verdana" w:cs="Arial"/>
          <w:spacing w:val="1"/>
          <w:sz w:val="22"/>
          <w:szCs w:val="22"/>
        </w:rPr>
        <w:t xml:space="preserve"> </w:t>
      </w:r>
      <w:r w:rsidRPr="00CD459A">
        <w:rPr>
          <w:rFonts w:ascii="Verdana" w:hAnsi="Verdana" w:cs="Arial"/>
          <w:sz w:val="22"/>
          <w:szCs w:val="22"/>
        </w:rPr>
        <w:t>los</w:t>
      </w:r>
      <w:r w:rsidRPr="00CD459A">
        <w:rPr>
          <w:rFonts w:ascii="Verdana" w:hAnsi="Verdana" w:cs="Arial"/>
          <w:spacing w:val="-2"/>
          <w:sz w:val="22"/>
          <w:szCs w:val="22"/>
        </w:rPr>
        <w:t xml:space="preserve"> </w:t>
      </w:r>
      <w:r w:rsidRPr="00CD459A">
        <w:rPr>
          <w:rFonts w:ascii="Verdana" w:hAnsi="Verdana" w:cs="Arial"/>
          <w:sz w:val="22"/>
          <w:szCs w:val="22"/>
        </w:rPr>
        <w:t>aportes</w:t>
      </w:r>
      <w:r w:rsidRPr="00CD459A">
        <w:rPr>
          <w:rFonts w:ascii="Verdana" w:hAnsi="Verdana" w:cs="Arial"/>
          <w:spacing w:val="-1"/>
          <w:sz w:val="22"/>
          <w:szCs w:val="22"/>
        </w:rPr>
        <w:t xml:space="preserve"> </w:t>
      </w:r>
      <w:r w:rsidRPr="00CD459A">
        <w:rPr>
          <w:rFonts w:ascii="Verdana" w:hAnsi="Verdana" w:cs="Arial"/>
          <w:sz w:val="22"/>
          <w:szCs w:val="22"/>
        </w:rPr>
        <w:t>realizados,</w:t>
      </w:r>
      <w:r w:rsidRPr="00CD459A">
        <w:rPr>
          <w:rFonts w:ascii="Verdana" w:hAnsi="Verdana" w:cs="Arial"/>
          <w:spacing w:val="-5"/>
          <w:sz w:val="22"/>
          <w:szCs w:val="22"/>
        </w:rPr>
        <w:t xml:space="preserve"> </w:t>
      </w:r>
      <w:r w:rsidRPr="00CD459A">
        <w:rPr>
          <w:rFonts w:ascii="Verdana" w:hAnsi="Verdana" w:cs="Arial"/>
          <w:sz w:val="22"/>
          <w:szCs w:val="22"/>
        </w:rPr>
        <w:t>las</w:t>
      </w:r>
      <w:r w:rsidRPr="00CD459A">
        <w:rPr>
          <w:rFonts w:ascii="Verdana" w:hAnsi="Verdana" w:cs="Arial"/>
          <w:spacing w:val="-2"/>
          <w:sz w:val="22"/>
          <w:szCs w:val="22"/>
        </w:rPr>
        <w:t xml:space="preserve"> </w:t>
      </w:r>
      <w:r w:rsidRPr="00CD459A">
        <w:rPr>
          <w:rFonts w:ascii="Verdana" w:hAnsi="Verdana" w:cs="Arial"/>
          <w:sz w:val="22"/>
          <w:szCs w:val="22"/>
        </w:rPr>
        <w:t>utilidades, la valorización o desvalorización del fondo por variación en la TRM y</w:t>
      </w:r>
      <w:r w:rsidRPr="00CD459A">
        <w:rPr>
          <w:rFonts w:ascii="Verdana" w:hAnsi="Verdana" w:cs="Arial"/>
          <w:spacing w:val="-2"/>
          <w:sz w:val="22"/>
          <w:szCs w:val="22"/>
        </w:rPr>
        <w:t xml:space="preserve"> </w:t>
      </w:r>
      <w:r w:rsidRPr="00CD459A">
        <w:rPr>
          <w:rFonts w:ascii="Verdana" w:hAnsi="Verdana" w:cs="Arial"/>
          <w:sz w:val="22"/>
          <w:szCs w:val="22"/>
        </w:rPr>
        <w:t>el</w:t>
      </w:r>
      <w:r w:rsidRPr="00CD459A">
        <w:rPr>
          <w:rFonts w:ascii="Verdana" w:hAnsi="Verdana" w:cs="Arial"/>
          <w:spacing w:val="-1"/>
          <w:sz w:val="22"/>
          <w:szCs w:val="22"/>
        </w:rPr>
        <w:t xml:space="preserve"> </w:t>
      </w:r>
      <w:r w:rsidRPr="00CD459A">
        <w:rPr>
          <w:rFonts w:ascii="Verdana" w:hAnsi="Verdana" w:cs="Arial"/>
          <w:sz w:val="22"/>
          <w:szCs w:val="22"/>
        </w:rPr>
        <w:t>retiro</w:t>
      </w:r>
      <w:r w:rsidRPr="00CD459A">
        <w:rPr>
          <w:rFonts w:ascii="Verdana" w:hAnsi="Verdana" w:cs="Arial"/>
          <w:spacing w:val="-4"/>
          <w:sz w:val="22"/>
          <w:szCs w:val="22"/>
        </w:rPr>
        <w:t xml:space="preserve"> </w:t>
      </w:r>
      <w:r w:rsidRPr="00CD459A">
        <w:rPr>
          <w:rFonts w:ascii="Verdana" w:hAnsi="Verdana" w:cs="Arial"/>
          <w:sz w:val="22"/>
          <w:szCs w:val="22"/>
        </w:rPr>
        <w:t>de</w:t>
      </w:r>
      <w:r w:rsidRPr="00CD459A">
        <w:rPr>
          <w:rFonts w:ascii="Verdana" w:hAnsi="Verdana" w:cs="Arial"/>
          <w:spacing w:val="-2"/>
          <w:sz w:val="22"/>
          <w:szCs w:val="22"/>
        </w:rPr>
        <w:t xml:space="preserve"> </w:t>
      </w:r>
      <w:r w:rsidRPr="00CD459A">
        <w:rPr>
          <w:rFonts w:ascii="Verdana" w:hAnsi="Verdana" w:cs="Arial"/>
          <w:sz w:val="22"/>
          <w:szCs w:val="22"/>
        </w:rPr>
        <w:t>aportes.</w:t>
      </w:r>
    </w:p>
    <w:p w14:paraId="4A5B24D8" w14:textId="77777777" w:rsidR="007C7EF4" w:rsidRPr="00CD459A" w:rsidRDefault="007C7EF4" w:rsidP="007C7EF4">
      <w:pPr>
        <w:pStyle w:val="Textoindependiente"/>
        <w:spacing w:before="1"/>
        <w:rPr>
          <w:rFonts w:ascii="Verdana" w:hAnsi="Verdana" w:cs="Arial"/>
          <w:sz w:val="22"/>
          <w:szCs w:val="22"/>
        </w:rPr>
      </w:pPr>
    </w:p>
    <w:p w14:paraId="25A1474A"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MEDICIÓN</w:t>
      </w:r>
      <w:r w:rsidRPr="00CD459A">
        <w:rPr>
          <w:rFonts w:ascii="Verdana" w:hAnsi="Verdana" w:cs="Arial"/>
          <w:spacing w:val="-6"/>
          <w:sz w:val="22"/>
          <w:szCs w:val="22"/>
        </w:rPr>
        <w:t xml:space="preserve"> </w:t>
      </w:r>
      <w:r w:rsidRPr="00CD459A">
        <w:rPr>
          <w:rFonts w:ascii="Verdana" w:hAnsi="Verdana" w:cs="Arial"/>
          <w:sz w:val="22"/>
          <w:szCs w:val="22"/>
        </w:rPr>
        <w:t>POSTERIOR</w:t>
      </w:r>
    </w:p>
    <w:p w14:paraId="3738AD09" w14:textId="77777777" w:rsidR="007C7EF4" w:rsidRPr="00CD459A" w:rsidRDefault="007C7EF4" w:rsidP="007C7EF4">
      <w:pPr>
        <w:pStyle w:val="Textoindependiente"/>
        <w:spacing w:before="7"/>
        <w:rPr>
          <w:rFonts w:ascii="Verdana" w:hAnsi="Verdana" w:cs="Arial"/>
          <w:sz w:val="22"/>
          <w:szCs w:val="22"/>
        </w:rPr>
      </w:pPr>
    </w:p>
    <w:p w14:paraId="1453133B" w14:textId="77777777" w:rsidR="007C7EF4" w:rsidRPr="00CD459A" w:rsidRDefault="007C7EF4" w:rsidP="007C7EF4">
      <w:pPr>
        <w:pStyle w:val="Textoindependiente"/>
        <w:tabs>
          <w:tab w:val="left" w:pos="7797"/>
        </w:tabs>
        <w:spacing w:before="1"/>
        <w:ind w:left="993" w:right="1043"/>
        <w:rPr>
          <w:rFonts w:ascii="Verdana" w:hAnsi="Verdana" w:cs="Arial"/>
          <w:spacing w:val="-48"/>
          <w:sz w:val="22"/>
          <w:szCs w:val="22"/>
        </w:rPr>
      </w:pPr>
      <w:r w:rsidRPr="00CD459A">
        <w:rPr>
          <w:rFonts w:ascii="Verdana" w:hAnsi="Verdana" w:cs="Arial"/>
          <w:sz w:val="22"/>
          <w:szCs w:val="22"/>
        </w:rPr>
        <w:t>Con</w:t>
      </w:r>
      <w:r w:rsidRPr="00CD459A">
        <w:rPr>
          <w:rFonts w:ascii="Verdana" w:hAnsi="Verdana" w:cs="Arial"/>
          <w:spacing w:val="1"/>
          <w:sz w:val="22"/>
          <w:szCs w:val="22"/>
        </w:rPr>
        <w:t xml:space="preserve"> </w:t>
      </w:r>
      <w:r w:rsidRPr="00CD459A">
        <w:rPr>
          <w:rFonts w:ascii="Verdana" w:hAnsi="Verdana" w:cs="Arial"/>
          <w:sz w:val="22"/>
          <w:szCs w:val="22"/>
        </w:rPr>
        <w:t>posterioridad</w:t>
      </w:r>
      <w:r w:rsidRPr="00CD459A">
        <w:rPr>
          <w:rFonts w:ascii="Verdana" w:hAnsi="Verdana" w:cs="Arial"/>
          <w:spacing w:val="1"/>
          <w:sz w:val="22"/>
          <w:szCs w:val="22"/>
        </w:rPr>
        <w:t xml:space="preserve"> </w:t>
      </w:r>
      <w:r w:rsidRPr="00CD459A">
        <w:rPr>
          <w:rFonts w:ascii="Verdana" w:hAnsi="Verdana" w:cs="Arial"/>
          <w:sz w:val="22"/>
          <w:szCs w:val="22"/>
        </w:rPr>
        <w:t>al</w:t>
      </w:r>
      <w:r w:rsidRPr="00CD459A">
        <w:rPr>
          <w:rFonts w:ascii="Verdana" w:hAnsi="Verdana" w:cs="Arial"/>
          <w:spacing w:val="1"/>
          <w:sz w:val="22"/>
          <w:szCs w:val="22"/>
        </w:rPr>
        <w:t xml:space="preserve"> </w:t>
      </w:r>
      <w:r w:rsidRPr="00CD459A">
        <w:rPr>
          <w:rFonts w:ascii="Verdana" w:hAnsi="Verdana" w:cs="Arial"/>
          <w:sz w:val="22"/>
          <w:szCs w:val="22"/>
        </w:rPr>
        <w:t>reconocimiento</w:t>
      </w:r>
      <w:r w:rsidRPr="00CD459A">
        <w:rPr>
          <w:rFonts w:ascii="Verdana" w:hAnsi="Verdana" w:cs="Arial"/>
          <w:spacing w:val="1"/>
          <w:sz w:val="22"/>
          <w:szCs w:val="22"/>
        </w:rPr>
        <w:t xml:space="preserve"> </w:t>
      </w:r>
      <w:r w:rsidRPr="00CD459A">
        <w:rPr>
          <w:rFonts w:ascii="Verdana" w:hAnsi="Verdana" w:cs="Arial"/>
          <w:sz w:val="22"/>
          <w:szCs w:val="22"/>
        </w:rPr>
        <w:t>inicial, el</w:t>
      </w:r>
      <w:r w:rsidRPr="00CD459A">
        <w:rPr>
          <w:rFonts w:ascii="Verdana" w:hAnsi="Verdana" w:cs="Arial"/>
          <w:spacing w:val="1"/>
          <w:sz w:val="22"/>
          <w:szCs w:val="22"/>
        </w:rPr>
        <w:t xml:space="preserve"> </w:t>
      </w:r>
      <w:r w:rsidRPr="00CD459A">
        <w:rPr>
          <w:rFonts w:ascii="Verdana" w:hAnsi="Verdana" w:cs="Arial"/>
          <w:sz w:val="22"/>
          <w:szCs w:val="22"/>
        </w:rPr>
        <w:t>saldo</w:t>
      </w:r>
      <w:r w:rsidRPr="00CD459A">
        <w:rPr>
          <w:rFonts w:ascii="Verdana" w:hAnsi="Verdana" w:cs="Arial"/>
          <w:spacing w:val="1"/>
          <w:sz w:val="22"/>
          <w:szCs w:val="22"/>
        </w:rPr>
        <w:t xml:space="preserve"> </w:t>
      </w:r>
      <w:r w:rsidRPr="00CD459A">
        <w:rPr>
          <w:rFonts w:ascii="Verdana" w:hAnsi="Verdana" w:cs="Arial"/>
          <w:sz w:val="22"/>
          <w:szCs w:val="22"/>
        </w:rPr>
        <w:t>del</w:t>
      </w:r>
      <w:r w:rsidRPr="00CD459A">
        <w:rPr>
          <w:rFonts w:ascii="Verdana" w:hAnsi="Verdana" w:cs="Arial"/>
          <w:spacing w:val="1"/>
          <w:sz w:val="22"/>
          <w:szCs w:val="22"/>
        </w:rPr>
        <w:t xml:space="preserve"> </w:t>
      </w:r>
      <w:r w:rsidRPr="00CD459A">
        <w:rPr>
          <w:rFonts w:ascii="Verdana" w:hAnsi="Verdana" w:cs="Arial"/>
          <w:sz w:val="22"/>
          <w:szCs w:val="22"/>
        </w:rPr>
        <w:t>Fondo</w:t>
      </w:r>
      <w:r w:rsidRPr="00CD459A">
        <w:rPr>
          <w:rFonts w:ascii="Verdana" w:hAnsi="Verdana" w:cs="Arial"/>
          <w:spacing w:val="1"/>
          <w:sz w:val="22"/>
          <w:szCs w:val="22"/>
        </w:rPr>
        <w:t xml:space="preserve"> </w:t>
      </w:r>
      <w:r w:rsidRPr="00CD459A">
        <w:rPr>
          <w:rFonts w:ascii="Verdana" w:hAnsi="Verdana" w:cs="Arial"/>
          <w:sz w:val="22"/>
          <w:szCs w:val="22"/>
        </w:rPr>
        <w:t>de</w:t>
      </w:r>
      <w:r w:rsidRPr="00CD459A">
        <w:rPr>
          <w:rFonts w:ascii="Verdana" w:hAnsi="Verdana" w:cs="Arial"/>
          <w:spacing w:val="1"/>
          <w:sz w:val="22"/>
          <w:szCs w:val="22"/>
        </w:rPr>
        <w:t xml:space="preserve"> </w:t>
      </w:r>
      <w:r w:rsidRPr="00CD459A">
        <w:rPr>
          <w:rFonts w:ascii="Verdana" w:hAnsi="Verdana" w:cs="Arial"/>
          <w:sz w:val="22"/>
          <w:szCs w:val="22"/>
        </w:rPr>
        <w:t>Ahorro</w:t>
      </w:r>
      <w:r w:rsidRPr="00CD459A">
        <w:rPr>
          <w:rFonts w:ascii="Verdana" w:hAnsi="Verdana" w:cs="Arial"/>
          <w:spacing w:val="1"/>
          <w:sz w:val="22"/>
          <w:szCs w:val="22"/>
        </w:rPr>
        <w:t xml:space="preserve"> </w:t>
      </w:r>
      <w:r w:rsidRPr="00CD459A">
        <w:rPr>
          <w:rFonts w:ascii="Verdana" w:hAnsi="Verdana" w:cs="Arial"/>
          <w:sz w:val="22"/>
          <w:szCs w:val="22"/>
        </w:rPr>
        <w:t>y</w:t>
      </w:r>
      <w:r w:rsidRPr="00CD459A">
        <w:rPr>
          <w:rFonts w:ascii="Verdana" w:hAnsi="Verdana" w:cs="Arial"/>
          <w:spacing w:val="1"/>
          <w:sz w:val="22"/>
          <w:szCs w:val="22"/>
        </w:rPr>
        <w:t xml:space="preserve"> </w:t>
      </w:r>
      <w:r w:rsidRPr="00CD459A">
        <w:rPr>
          <w:rFonts w:ascii="Verdana" w:hAnsi="Verdana" w:cs="Arial"/>
          <w:sz w:val="22"/>
          <w:szCs w:val="22"/>
        </w:rPr>
        <w:t>Estabilización</w:t>
      </w:r>
      <w:r w:rsidRPr="00CD459A">
        <w:rPr>
          <w:rFonts w:ascii="Verdana" w:hAnsi="Verdana" w:cs="Arial"/>
          <w:spacing w:val="1"/>
          <w:sz w:val="22"/>
          <w:szCs w:val="22"/>
        </w:rPr>
        <w:t xml:space="preserve"> </w:t>
      </w:r>
      <w:r w:rsidRPr="00CD459A">
        <w:rPr>
          <w:rFonts w:ascii="Verdana" w:hAnsi="Verdana" w:cs="Arial"/>
          <w:sz w:val="22"/>
          <w:szCs w:val="22"/>
        </w:rPr>
        <w:t>es</w:t>
      </w:r>
      <w:r w:rsidRPr="00CD459A">
        <w:rPr>
          <w:rFonts w:ascii="Verdana" w:hAnsi="Verdana" w:cs="Arial"/>
          <w:spacing w:val="1"/>
          <w:sz w:val="22"/>
          <w:szCs w:val="22"/>
        </w:rPr>
        <w:t xml:space="preserve"> </w:t>
      </w:r>
      <w:r w:rsidRPr="00CD459A">
        <w:rPr>
          <w:rFonts w:ascii="Verdana" w:hAnsi="Verdana" w:cs="Arial"/>
          <w:sz w:val="22"/>
          <w:szCs w:val="22"/>
        </w:rPr>
        <w:t>Re expresado</w:t>
      </w:r>
      <w:r w:rsidRPr="00CD459A">
        <w:rPr>
          <w:rFonts w:ascii="Verdana" w:hAnsi="Verdana" w:cs="Arial"/>
          <w:spacing w:val="1"/>
          <w:sz w:val="22"/>
          <w:szCs w:val="22"/>
        </w:rPr>
        <w:t xml:space="preserve"> </w:t>
      </w:r>
      <w:r w:rsidRPr="00CD459A">
        <w:rPr>
          <w:rFonts w:ascii="Verdana" w:hAnsi="Verdana" w:cs="Arial"/>
          <w:sz w:val="22"/>
          <w:szCs w:val="22"/>
        </w:rPr>
        <w:t>a</w:t>
      </w:r>
      <w:r w:rsidRPr="00CD459A">
        <w:rPr>
          <w:rFonts w:ascii="Verdana" w:hAnsi="Verdana" w:cs="Arial"/>
          <w:spacing w:val="1"/>
          <w:sz w:val="22"/>
          <w:szCs w:val="22"/>
        </w:rPr>
        <w:t xml:space="preserve"> </w:t>
      </w:r>
      <w:r w:rsidRPr="00CD459A">
        <w:rPr>
          <w:rFonts w:ascii="Verdana" w:hAnsi="Verdana" w:cs="Arial"/>
          <w:sz w:val="22"/>
          <w:szCs w:val="22"/>
        </w:rPr>
        <w:t>la</w:t>
      </w:r>
      <w:r w:rsidRPr="00CD459A">
        <w:rPr>
          <w:rFonts w:ascii="Verdana" w:hAnsi="Verdana" w:cs="Arial"/>
          <w:spacing w:val="1"/>
          <w:sz w:val="22"/>
          <w:szCs w:val="22"/>
        </w:rPr>
        <w:t xml:space="preserve"> </w:t>
      </w:r>
      <w:r w:rsidRPr="00CD459A">
        <w:rPr>
          <w:rFonts w:ascii="Verdana" w:hAnsi="Verdana" w:cs="Arial"/>
          <w:sz w:val="22"/>
          <w:szCs w:val="22"/>
        </w:rPr>
        <w:t>TRM</w:t>
      </w:r>
      <w:r w:rsidRPr="00CD459A">
        <w:rPr>
          <w:rFonts w:ascii="Verdana" w:hAnsi="Verdana" w:cs="Arial"/>
          <w:spacing w:val="1"/>
          <w:sz w:val="22"/>
          <w:szCs w:val="22"/>
        </w:rPr>
        <w:t xml:space="preserve"> </w:t>
      </w:r>
      <w:r w:rsidRPr="00CD459A">
        <w:rPr>
          <w:rFonts w:ascii="Verdana" w:hAnsi="Verdana" w:cs="Arial"/>
          <w:sz w:val="22"/>
          <w:szCs w:val="22"/>
        </w:rPr>
        <w:t>del</w:t>
      </w:r>
      <w:r w:rsidRPr="00CD459A">
        <w:rPr>
          <w:rFonts w:ascii="Verdana" w:hAnsi="Verdana" w:cs="Arial"/>
          <w:spacing w:val="1"/>
          <w:sz w:val="22"/>
          <w:szCs w:val="22"/>
        </w:rPr>
        <w:t xml:space="preserve"> </w:t>
      </w:r>
      <w:r w:rsidRPr="00CD459A">
        <w:rPr>
          <w:rFonts w:ascii="Verdana" w:hAnsi="Verdana" w:cs="Arial"/>
          <w:sz w:val="22"/>
          <w:szCs w:val="22"/>
        </w:rPr>
        <w:t>último</w:t>
      </w:r>
      <w:r w:rsidRPr="00CD459A">
        <w:rPr>
          <w:rFonts w:ascii="Verdana" w:hAnsi="Verdana" w:cs="Arial"/>
          <w:spacing w:val="1"/>
          <w:sz w:val="22"/>
          <w:szCs w:val="22"/>
        </w:rPr>
        <w:t xml:space="preserve"> </w:t>
      </w:r>
      <w:r w:rsidRPr="00CD459A">
        <w:rPr>
          <w:rFonts w:ascii="Verdana" w:hAnsi="Verdana" w:cs="Arial"/>
          <w:sz w:val="22"/>
          <w:szCs w:val="22"/>
        </w:rPr>
        <w:t>día</w:t>
      </w:r>
      <w:r w:rsidRPr="00CD459A">
        <w:rPr>
          <w:rFonts w:ascii="Verdana" w:hAnsi="Verdana" w:cs="Arial"/>
          <w:spacing w:val="1"/>
          <w:sz w:val="22"/>
          <w:szCs w:val="22"/>
        </w:rPr>
        <w:t xml:space="preserve"> </w:t>
      </w:r>
      <w:r w:rsidRPr="00CD459A">
        <w:rPr>
          <w:rFonts w:ascii="Verdana" w:hAnsi="Verdana" w:cs="Arial"/>
          <w:sz w:val="22"/>
          <w:szCs w:val="22"/>
        </w:rPr>
        <w:t>de</w:t>
      </w:r>
      <w:r w:rsidRPr="00CD459A">
        <w:rPr>
          <w:rFonts w:ascii="Verdana" w:hAnsi="Verdana" w:cs="Arial"/>
          <w:spacing w:val="1"/>
          <w:sz w:val="22"/>
          <w:szCs w:val="22"/>
        </w:rPr>
        <w:t xml:space="preserve"> </w:t>
      </w:r>
      <w:r w:rsidRPr="00CD459A">
        <w:rPr>
          <w:rFonts w:ascii="Verdana" w:hAnsi="Verdana" w:cs="Arial"/>
          <w:sz w:val="22"/>
          <w:szCs w:val="22"/>
        </w:rPr>
        <w:t>mes</w:t>
      </w:r>
      <w:r w:rsidRPr="00CD459A">
        <w:rPr>
          <w:rFonts w:ascii="Verdana" w:hAnsi="Verdana" w:cs="Arial"/>
          <w:spacing w:val="1"/>
          <w:sz w:val="22"/>
          <w:szCs w:val="22"/>
        </w:rPr>
        <w:t xml:space="preserve"> </w:t>
      </w:r>
      <w:r w:rsidRPr="00CD459A">
        <w:rPr>
          <w:rFonts w:ascii="Verdana" w:hAnsi="Verdana" w:cs="Arial"/>
          <w:sz w:val="22"/>
          <w:szCs w:val="22"/>
        </w:rPr>
        <w:t>correspondiente,</w:t>
      </w:r>
      <w:r w:rsidRPr="00CD459A">
        <w:rPr>
          <w:rFonts w:ascii="Verdana" w:hAnsi="Verdana" w:cs="Arial"/>
          <w:spacing w:val="1"/>
          <w:sz w:val="22"/>
          <w:szCs w:val="22"/>
        </w:rPr>
        <w:t xml:space="preserve"> </w:t>
      </w:r>
      <w:r w:rsidRPr="00CD459A">
        <w:rPr>
          <w:rFonts w:ascii="Verdana" w:hAnsi="Verdana" w:cs="Arial"/>
          <w:sz w:val="22"/>
          <w:szCs w:val="22"/>
        </w:rPr>
        <w:t>cualquier</w:t>
      </w:r>
      <w:r w:rsidRPr="00CD459A">
        <w:rPr>
          <w:rFonts w:ascii="Verdana" w:hAnsi="Verdana" w:cs="Arial"/>
          <w:spacing w:val="1"/>
          <w:sz w:val="22"/>
          <w:szCs w:val="22"/>
        </w:rPr>
        <w:t xml:space="preserve"> </w:t>
      </w:r>
      <w:r w:rsidRPr="00CD459A">
        <w:rPr>
          <w:rFonts w:ascii="Verdana" w:hAnsi="Verdana" w:cs="Arial"/>
          <w:sz w:val="22"/>
          <w:szCs w:val="22"/>
        </w:rPr>
        <w:t>diferencia</w:t>
      </w:r>
      <w:r w:rsidRPr="00CD459A">
        <w:rPr>
          <w:rFonts w:ascii="Verdana" w:hAnsi="Verdana" w:cs="Arial"/>
          <w:spacing w:val="1"/>
          <w:sz w:val="22"/>
          <w:szCs w:val="22"/>
        </w:rPr>
        <w:t xml:space="preserve"> </w:t>
      </w:r>
      <w:r w:rsidRPr="00CD459A">
        <w:rPr>
          <w:rFonts w:ascii="Verdana" w:hAnsi="Verdana" w:cs="Arial"/>
          <w:sz w:val="22"/>
          <w:szCs w:val="22"/>
        </w:rPr>
        <w:t>con</w:t>
      </w:r>
      <w:r w:rsidRPr="00CD459A">
        <w:rPr>
          <w:rFonts w:ascii="Verdana" w:hAnsi="Verdana" w:cs="Arial"/>
          <w:spacing w:val="1"/>
          <w:sz w:val="22"/>
          <w:szCs w:val="22"/>
        </w:rPr>
        <w:t xml:space="preserve"> </w:t>
      </w:r>
      <w:r w:rsidRPr="00CD459A">
        <w:rPr>
          <w:rFonts w:ascii="Verdana" w:hAnsi="Verdana" w:cs="Arial"/>
          <w:sz w:val="22"/>
          <w:szCs w:val="22"/>
        </w:rPr>
        <w:t>el</w:t>
      </w:r>
      <w:r w:rsidRPr="00CD459A">
        <w:rPr>
          <w:rFonts w:ascii="Verdana" w:hAnsi="Verdana" w:cs="Arial"/>
          <w:spacing w:val="1"/>
          <w:sz w:val="22"/>
          <w:szCs w:val="22"/>
        </w:rPr>
        <w:t xml:space="preserve"> </w:t>
      </w:r>
      <w:r w:rsidRPr="00CD459A">
        <w:rPr>
          <w:rFonts w:ascii="Verdana" w:hAnsi="Verdana" w:cs="Arial"/>
          <w:sz w:val="22"/>
          <w:szCs w:val="22"/>
        </w:rPr>
        <w:t>reconocimiento</w:t>
      </w:r>
      <w:r w:rsidRPr="00CD459A">
        <w:rPr>
          <w:rFonts w:ascii="Verdana" w:hAnsi="Verdana" w:cs="Arial"/>
          <w:spacing w:val="-9"/>
          <w:sz w:val="22"/>
          <w:szCs w:val="22"/>
        </w:rPr>
        <w:t xml:space="preserve"> </w:t>
      </w:r>
      <w:r w:rsidRPr="00CD459A">
        <w:rPr>
          <w:rFonts w:ascii="Verdana" w:hAnsi="Verdana" w:cs="Arial"/>
          <w:sz w:val="22"/>
          <w:szCs w:val="22"/>
        </w:rPr>
        <w:t>inicial</w:t>
      </w:r>
      <w:r w:rsidRPr="00CD459A">
        <w:rPr>
          <w:rFonts w:ascii="Verdana" w:hAnsi="Verdana" w:cs="Arial"/>
          <w:spacing w:val="-5"/>
          <w:sz w:val="22"/>
          <w:szCs w:val="22"/>
        </w:rPr>
        <w:t xml:space="preserve"> </w:t>
      </w:r>
      <w:r w:rsidRPr="00CD459A">
        <w:rPr>
          <w:rFonts w:ascii="Verdana" w:hAnsi="Verdana" w:cs="Arial"/>
          <w:sz w:val="22"/>
          <w:szCs w:val="22"/>
        </w:rPr>
        <w:t>se</w:t>
      </w:r>
      <w:r w:rsidRPr="00CD459A">
        <w:rPr>
          <w:rFonts w:ascii="Verdana" w:hAnsi="Verdana" w:cs="Arial"/>
          <w:spacing w:val="-8"/>
          <w:sz w:val="22"/>
          <w:szCs w:val="22"/>
        </w:rPr>
        <w:t xml:space="preserve"> </w:t>
      </w:r>
      <w:r w:rsidRPr="00CD459A">
        <w:rPr>
          <w:rFonts w:ascii="Verdana" w:hAnsi="Verdana" w:cs="Arial"/>
          <w:sz w:val="22"/>
          <w:szCs w:val="22"/>
        </w:rPr>
        <w:t>reconocerá</w:t>
      </w:r>
      <w:r w:rsidRPr="00CD459A">
        <w:rPr>
          <w:rFonts w:ascii="Verdana" w:hAnsi="Verdana" w:cs="Arial"/>
          <w:spacing w:val="-2"/>
          <w:sz w:val="22"/>
          <w:szCs w:val="22"/>
        </w:rPr>
        <w:t xml:space="preserve"> </w:t>
      </w:r>
      <w:r w:rsidRPr="00CD459A">
        <w:rPr>
          <w:rFonts w:ascii="Verdana" w:hAnsi="Verdana" w:cs="Arial"/>
          <w:sz w:val="22"/>
          <w:szCs w:val="22"/>
        </w:rPr>
        <w:t>como</w:t>
      </w:r>
      <w:r w:rsidRPr="00CD459A">
        <w:rPr>
          <w:rFonts w:ascii="Verdana" w:hAnsi="Verdana" w:cs="Arial"/>
          <w:spacing w:val="-5"/>
          <w:sz w:val="22"/>
          <w:szCs w:val="22"/>
        </w:rPr>
        <w:t xml:space="preserve"> </w:t>
      </w:r>
      <w:r w:rsidRPr="00CD459A">
        <w:rPr>
          <w:rFonts w:ascii="Verdana" w:hAnsi="Verdana" w:cs="Arial"/>
          <w:sz w:val="22"/>
          <w:szCs w:val="22"/>
        </w:rPr>
        <w:t>ingreso</w:t>
      </w:r>
      <w:r w:rsidRPr="00CD459A">
        <w:rPr>
          <w:rFonts w:ascii="Verdana" w:hAnsi="Verdana" w:cs="Arial"/>
          <w:spacing w:val="-8"/>
          <w:sz w:val="22"/>
          <w:szCs w:val="22"/>
        </w:rPr>
        <w:t xml:space="preserve"> </w:t>
      </w:r>
      <w:r w:rsidRPr="00CD459A">
        <w:rPr>
          <w:rFonts w:ascii="Verdana" w:hAnsi="Verdana" w:cs="Arial"/>
          <w:sz w:val="22"/>
          <w:szCs w:val="22"/>
        </w:rPr>
        <w:t>o</w:t>
      </w:r>
      <w:r w:rsidRPr="00CD459A">
        <w:rPr>
          <w:rFonts w:ascii="Verdana" w:hAnsi="Verdana" w:cs="Arial"/>
          <w:spacing w:val="-4"/>
          <w:sz w:val="22"/>
          <w:szCs w:val="22"/>
        </w:rPr>
        <w:t xml:space="preserve"> </w:t>
      </w:r>
      <w:r w:rsidRPr="00CD459A">
        <w:rPr>
          <w:rFonts w:ascii="Verdana" w:hAnsi="Verdana" w:cs="Arial"/>
          <w:sz w:val="22"/>
          <w:szCs w:val="22"/>
        </w:rPr>
        <w:t>como</w:t>
      </w:r>
      <w:r w:rsidRPr="00CD459A">
        <w:rPr>
          <w:rFonts w:ascii="Verdana" w:hAnsi="Verdana" w:cs="Arial"/>
          <w:spacing w:val="-8"/>
          <w:sz w:val="22"/>
          <w:szCs w:val="22"/>
        </w:rPr>
        <w:t xml:space="preserve"> </w:t>
      </w:r>
      <w:r w:rsidRPr="00CD459A">
        <w:rPr>
          <w:rFonts w:ascii="Verdana" w:hAnsi="Verdana" w:cs="Arial"/>
          <w:sz w:val="22"/>
          <w:szCs w:val="22"/>
        </w:rPr>
        <w:t>gasto</w:t>
      </w:r>
      <w:r w:rsidRPr="00CD459A">
        <w:rPr>
          <w:rFonts w:ascii="Verdana" w:hAnsi="Verdana" w:cs="Arial"/>
          <w:spacing w:val="-9"/>
          <w:sz w:val="22"/>
          <w:szCs w:val="22"/>
        </w:rPr>
        <w:t xml:space="preserve"> </w:t>
      </w:r>
      <w:r w:rsidRPr="00CD459A">
        <w:rPr>
          <w:rFonts w:ascii="Verdana" w:hAnsi="Verdana" w:cs="Arial"/>
          <w:sz w:val="22"/>
          <w:szCs w:val="22"/>
        </w:rPr>
        <w:t>en</w:t>
      </w:r>
      <w:r w:rsidRPr="00CD459A">
        <w:rPr>
          <w:rFonts w:ascii="Verdana" w:hAnsi="Verdana" w:cs="Arial"/>
          <w:spacing w:val="-3"/>
          <w:sz w:val="22"/>
          <w:szCs w:val="22"/>
        </w:rPr>
        <w:t xml:space="preserve"> </w:t>
      </w:r>
      <w:r w:rsidRPr="00CD459A">
        <w:rPr>
          <w:rFonts w:ascii="Verdana" w:hAnsi="Verdana" w:cs="Arial"/>
          <w:sz w:val="22"/>
          <w:szCs w:val="22"/>
        </w:rPr>
        <w:t>el</w:t>
      </w:r>
      <w:r w:rsidRPr="00CD459A">
        <w:rPr>
          <w:rFonts w:ascii="Verdana" w:hAnsi="Verdana" w:cs="Arial"/>
          <w:spacing w:val="-6"/>
          <w:sz w:val="22"/>
          <w:szCs w:val="22"/>
        </w:rPr>
        <w:t xml:space="preserve"> </w:t>
      </w:r>
      <w:r w:rsidRPr="00CD459A">
        <w:rPr>
          <w:rFonts w:ascii="Verdana" w:hAnsi="Verdana" w:cs="Arial"/>
          <w:sz w:val="22"/>
          <w:szCs w:val="22"/>
        </w:rPr>
        <w:t>resultado</w:t>
      </w:r>
      <w:r w:rsidRPr="00CD459A">
        <w:rPr>
          <w:rFonts w:ascii="Verdana" w:hAnsi="Verdana" w:cs="Arial"/>
          <w:spacing w:val="-8"/>
          <w:sz w:val="22"/>
          <w:szCs w:val="22"/>
        </w:rPr>
        <w:t xml:space="preserve"> </w:t>
      </w:r>
      <w:r w:rsidRPr="00CD459A">
        <w:rPr>
          <w:rFonts w:ascii="Verdana" w:hAnsi="Verdana" w:cs="Arial"/>
          <w:sz w:val="22"/>
          <w:szCs w:val="22"/>
        </w:rPr>
        <w:t>del</w:t>
      </w:r>
      <w:r w:rsidRPr="00CD459A">
        <w:rPr>
          <w:rFonts w:ascii="Verdana" w:hAnsi="Verdana" w:cs="Arial"/>
          <w:spacing w:val="-1"/>
          <w:sz w:val="22"/>
          <w:szCs w:val="22"/>
        </w:rPr>
        <w:t xml:space="preserve"> </w:t>
      </w:r>
      <w:r w:rsidRPr="00CD459A">
        <w:rPr>
          <w:rFonts w:ascii="Verdana" w:hAnsi="Verdana" w:cs="Arial"/>
          <w:sz w:val="22"/>
          <w:szCs w:val="22"/>
        </w:rPr>
        <w:t>periodo,</w:t>
      </w:r>
      <w:r w:rsidRPr="00CD459A">
        <w:rPr>
          <w:rFonts w:ascii="Verdana" w:hAnsi="Verdana" w:cs="Arial"/>
          <w:spacing w:val="-9"/>
          <w:sz w:val="22"/>
          <w:szCs w:val="22"/>
        </w:rPr>
        <w:t xml:space="preserve"> </w:t>
      </w:r>
      <w:r w:rsidRPr="00CD459A">
        <w:rPr>
          <w:rFonts w:ascii="Verdana" w:hAnsi="Verdana" w:cs="Arial"/>
          <w:sz w:val="22"/>
          <w:szCs w:val="22"/>
        </w:rPr>
        <w:t>según</w:t>
      </w:r>
      <w:r w:rsidRPr="00CD459A">
        <w:rPr>
          <w:rFonts w:ascii="Verdana" w:hAnsi="Verdana" w:cs="Arial"/>
          <w:spacing w:val="-48"/>
          <w:sz w:val="22"/>
          <w:szCs w:val="22"/>
        </w:rPr>
        <w:t xml:space="preserve"> </w:t>
      </w:r>
      <w:r w:rsidRPr="00CD459A">
        <w:rPr>
          <w:rFonts w:ascii="Verdana" w:hAnsi="Verdana" w:cs="Arial"/>
          <w:sz w:val="22"/>
          <w:szCs w:val="22"/>
        </w:rPr>
        <w:t>corresponda.</w:t>
      </w:r>
    </w:p>
    <w:p w14:paraId="5215738F" w14:textId="77777777" w:rsidR="007C7EF4" w:rsidRPr="00CD459A" w:rsidRDefault="007C7EF4" w:rsidP="007C7EF4">
      <w:pPr>
        <w:pStyle w:val="Textoindependiente"/>
        <w:tabs>
          <w:tab w:val="left" w:pos="7797"/>
        </w:tabs>
        <w:spacing w:before="1"/>
        <w:ind w:left="993" w:right="1043"/>
        <w:rPr>
          <w:rFonts w:ascii="Verdana" w:hAnsi="Verdana" w:cs="Arial"/>
          <w:sz w:val="22"/>
          <w:szCs w:val="22"/>
        </w:rPr>
      </w:pPr>
    </w:p>
    <w:p w14:paraId="1BFF0679"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FUENTES</w:t>
      </w:r>
      <w:r w:rsidRPr="00CD459A">
        <w:rPr>
          <w:rFonts w:ascii="Verdana" w:hAnsi="Verdana" w:cs="Arial"/>
          <w:spacing w:val="-5"/>
          <w:sz w:val="22"/>
          <w:szCs w:val="22"/>
        </w:rPr>
        <w:t xml:space="preserve"> </w:t>
      </w:r>
      <w:r w:rsidRPr="00CD459A">
        <w:rPr>
          <w:rFonts w:ascii="Verdana" w:hAnsi="Verdana" w:cs="Arial"/>
          <w:sz w:val="22"/>
          <w:szCs w:val="22"/>
        </w:rPr>
        <w:t>DE</w:t>
      </w:r>
      <w:r w:rsidRPr="00CD459A">
        <w:rPr>
          <w:rFonts w:ascii="Verdana" w:hAnsi="Verdana" w:cs="Arial"/>
          <w:spacing w:val="-6"/>
          <w:sz w:val="22"/>
          <w:szCs w:val="22"/>
        </w:rPr>
        <w:t xml:space="preserve"> </w:t>
      </w:r>
      <w:r w:rsidRPr="00CD459A">
        <w:rPr>
          <w:rFonts w:ascii="Verdana" w:hAnsi="Verdana" w:cs="Arial"/>
          <w:sz w:val="22"/>
          <w:szCs w:val="22"/>
        </w:rPr>
        <w:t>INFORMACIÓN</w:t>
      </w:r>
    </w:p>
    <w:p w14:paraId="21A81B69" w14:textId="77777777" w:rsidR="007C7EF4" w:rsidRPr="00CD459A" w:rsidRDefault="007C7EF4" w:rsidP="007C7EF4">
      <w:pPr>
        <w:pStyle w:val="Textoindependiente"/>
        <w:spacing w:before="1"/>
        <w:rPr>
          <w:rFonts w:ascii="Verdana" w:hAnsi="Verdana" w:cs="Arial"/>
          <w:sz w:val="22"/>
          <w:szCs w:val="22"/>
        </w:rPr>
      </w:pPr>
    </w:p>
    <w:p w14:paraId="4930619D" w14:textId="77777777" w:rsidR="007C7EF4" w:rsidRPr="00CD459A" w:rsidRDefault="007C7EF4" w:rsidP="007C7EF4">
      <w:pPr>
        <w:pStyle w:val="Textoindependiente"/>
        <w:ind w:left="899" w:right="1284"/>
        <w:rPr>
          <w:rFonts w:ascii="Verdana" w:hAnsi="Verdana" w:cs="Arial"/>
          <w:sz w:val="22"/>
          <w:szCs w:val="22"/>
        </w:rPr>
      </w:pPr>
      <w:r w:rsidRPr="00CD459A">
        <w:rPr>
          <w:rFonts w:ascii="Verdana" w:hAnsi="Verdana" w:cs="Arial"/>
          <w:sz w:val="22"/>
          <w:szCs w:val="22"/>
        </w:rPr>
        <w:t>Evolución de los ahorros por participes emitido por el Banco de la Republica e Instrucción Abono a</w:t>
      </w:r>
      <w:r w:rsidRPr="00CD459A">
        <w:rPr>
          <w:rFonts w:ascii="Verdana" w:hAnsi="Verdana" w:cs="Arial"/>
          <w:spacing w:val="1"/>
          <w:sz w:val="22"/>
          <w:szCs w:val="22"/>
        </w:rPr>
        <w:t xml:space="preserve"> </w:t>
      </w:r>
      <w:r w:rsidRPr="00CD459A">
        <w:rPr>
          <w:rFonts w:ascii="Verdana" w:hAnsi="Verdana" w:cs="Arial"/>
          <w:sz w:val="22"/>
          <w:szCs w:val="22"/>
        </w:rPr>
        <w:t>cuenta</w:t>
      </w:r>
      <w:r w:rsidRPr="00CD459A">
        <w:rPr>
          <w:rFonts w:ascii="Verdana" w:hAnsi="Verdana" w:cs="Arial"/>
          <w:spacing w:val="-3"/>
          <w:sz w:val="22"/>
          <w:szCs w:val="22"/>
        </w:rPr>
        <w:t xml:space="preserve"> </w:t>
      </w:r>
      <w:r w:rsidRPr="00CD459A">
        <w:rPr>
          <w:rFonts w:ascii="Verdana" w:hAnsi="Verdana" w:cs="Arial"/>
          <w:sz w:val="22"/>
          <w:szCs w:val="22"/>
        </w:rPr>
        <w:t>emitida</w:t>
      </w:r>
      <w:r w:rsidRPr="00CD459A">
        <w:rPr>
          <w:rFonts w:ascii="Verdana" w:hAnsi="Verdana" w:cs="Arial"/>
          <w:spacing w:val="-2"/>
          <w:sz w:val="22"/>
          <w:szCs w:val="22"/>
        </w:rPr>
        <w:t xml:space="preserve"> </w:t>
      </w:r>
      <w:r w:rsidRPr="00CD459A">
        <w:rPr>
          <w:rFonts w:ascii="Verdana" w:hAnsi="Verdana" w:cs="Arial"/>
          <w:sz w:val="22"/>
          <w:szCs w:val="22"/>
        </w:rPr>
        <w:t>por</w:t>
      </w:r>
      <w:r w:rsidRPr="00CD459A">
        <w:rPr>
          <w:rFonts w:ascii="Verdana" w:hAnsi="Verdana" w:cs="Arial"/>
          <w:spacing w:val="-2"/>
          <w:sz w:val="22"/>
          <w:szCs w:val="22"/>
        </w:rPr>
        <w:t xml:space="preserve"> </w:t>
      </w:r>
      <w:r w:rsidRPr="00CD459A">
        <w:rPr>
          <w:rFonts w:ascii="Verdana" w:hAnsi="Verdana" w:cs="Arial"/>
          <w:sz w:val="22"/>
          <w:szCs w:val="22"/>
        </w:rPr>
        <w:t>el Departamento</w:t>
      </w:r>
      <w:r w:rsidRPr="00CD459A">
        <w:rPr>
          <w:rFonts w:ascii="Verdana" w:hAnsi="Verdana" w:cs="Arial"/>
          <w:spacing w:val="-3"/>
          <w:sz w:val="22"/>
          <w:szCs w:val="22"/>
        </w:rPr>
        <w:t xml:space="preserve"> </w:t>
      </w:r>
      <w:r w:rsidRPr="00CD459A">
        <w:rPr>
          <w:rFonts w:ascii="Verdana" w:hAnsi="Verdana" w:cs="Arial"/>
          <w:sz w:val="22"/>
          <w:szCs w:val="22"/>
        </w:rPr>
        <w:t>Nacional</w:t>
      </w:r>
      <w:r w:rsidRPr="00CD459A">
        <w:rPr>
          <w:rFonts w:ascii="Verdana" w:hAnsi="Verdana" w:cs="Arial"/>
          <w:spacing w:val="-1"/>
          <w:sz w:val="22"/>
          <w:szCs w:val="22"/>
        </w:rPr>
        <w:t xml:space="preserve"> </w:t>
      </w:r>
      <w:r w:rsidRPr="00CD459A">
        <w:rPr>
          <w:rFonts w:ascii="Verdana" w:hAnsi="Verdana" w:cs="Arial"/>
          <w:sz w:val="22"/>
          <w:szCs w:val="22"/>
        </w:rPr>
        <w:t>de</w:t>
      </w:r>
      <w:r w:rsidRPr="00CD459A">
        <w:rPr>
          <w:rFonts w:ascii="Verdana" w:hAnsi="Verdana" w:cs="Arial"/>
          <w:spacing w:val="-2"/>
          <w:sz w:val="22"/>
          <w:szCs w:val="22"/>
        </w:rPr>
        <w:t xml:space="preserve"> </w:t>
      </w:r>
      <w:r w:rsidRPr="00CD459A">
        <w:rPr>
          <w:rFonts w:ascii="Verdana" w:hAnsi="Verdana" w:cs="Arial"/>
          <w:sz w:val="22"/>
          <w:szCs w:val="22"/>
        </w:rPr>
        <w:t>Planeación</w:t>
      </w:r>
    </w:p>
    <w:p w14:paraId="601D8F09" w14:textId="77777777" w:rsidR="007C7EF4" w:rsidRPr="00CD459A" w:rsidRDefault="007C7EF4" w:rsidP="007C7EF4">
      <w:pPr>
        <w:pStyle w:val="Textoindependiente"/>
        <w:spacing w:before="1"/>
        <w:rPr>
          <w:rFonts w:ascii="Verdana" w:hAnsi="Verdana" w:cs="Arial"/>
          <w:sz w:val="22"/>
          <w:szCs w:val="22"/>
        </w:rPr>
      </w:pPr>
      <w:r w:rsidRPr="00CD459A">
        <w:rPr>
          <w:rFonts w:ascii="Verdana" w:hAnsi="Verdana" w:cs="Arial"/>
          <w:sz w:val="22"/>
          <w:szCs w:val="22"/>
        </w:rPr>
        <w:tab/>
      </w:r>
    </w:p>
    <w:p w14:paraId="690545A7"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CONCILIACIÓN</w:t>
      </w:r>
    </w:p>
    <w:p w14:paraId="0A4DFB67" w14:textId="77777777" w:rsidR="007C7EF4" w:rsidRPr="00CD459A" w:rsidRDefault="007C7EF4" w:rsidP="007C7EF4">
      <w:pPr>
        <w:pStyle w:val="Textoindependiente"/>
        <w:rPr>
          <w:rFonts w:ascii="Verdana" w:hAnsi="Verdana" w:cs="Arial"/>
          <w:sz w:val="22"/>
          <w:szCs w:val="22"/>
        </w:rPr>
      </w:pPr>
    </w:p>
    <w:p w14:paraId="6CB248D3" w14:textId="77777777" w:rsidR="007C7EF4" w:rsidRPr="00CD459A" w:rsidRDefault="007C7EF4" w:rsidP="007C7EF4">
      <w:pPr>
        <w:pStyle w:val="Textoindependiente"/>
        <w:spacing w:before="1"/>
        <w:ind w:left="899" w:right="1277"/>
        <w:rPr>
          <w:rFonts w:ascii="Verdana" w:hAnsi="Verdana" w:cs="Arial"/>
          <w:sz w:val="22"/>
          <w:szCs w:val="22"/>
        </w:rPr>
      </w:pPr>
      <w:r w:rsidRPr="00CD459A">
        <w:rPr>
          <w:rFonts w:ascii="Verdana" w:hAnsi="Verdana" w:cs="Arial"/>
          <w:sz w:val="22"/>
          <w:szCs w:val="22"/>
        </w:rPr>
        <w:t>Se</w:t>
      </w:r>
      <w:r w:rsidRPr="00CD459A">
        <w:rPr>
          <w:rFonts w:ascii="Verdana" w:hAnsi="Verdana" w:cs="Arial"/>
          <w:spacing w:val="-8"/>
          <w:sz w:val="22"/>
          <w:szCs w:val="22"/>
        </w:rPr>
        <w:t xml:space="preserve"> </w:t>
      </w:r>
      <w:r w:rsidRPr="00CD459A">
        <w:rPr>
          <w:rFonts w:ascii="Verdana" w:hAnsi="Verdana" w:cs="Arial"/>
          <w:sz w:val="22"/>
          <w:szCs w:val="22"/>
        </w:rPr>
        <w:t>compara</w:t>
      </w:r>
      <w:r w:rsidRPr="00CD459A">
        <w:rPr>
          <w:rFonts w:ascii="Verdana" w:hAnsi="Verdana" w:cs="Arial"/>
          <w:spacing w:val="-9"/>
          <w:sz w:val="22"/>
          <w:szCs w:val="22"/>
        </w:rPr>
        <w:t xml:space="preserve"> </w:t>
      </w:r>
      <w:r w:rsidRPr="00CD459A">
        <w:rPr>
          <w:rFonts w:ascii="Verdana" w:hAnsi="Verdana" w:cs="Arial"/>
          <w:sz w:val="22"/>
          <w:szCs w:val="22"/>
        </w:rPr>
        <w:t>los</w:t>
      </w:r>
      <w:r w:rsidRPr="00CD459A">
        <w:rPr>
          <w:rFonts w:ascii="Verdana" w:hAnsi="Verdana" w:cs="Arial"/>
          <w:spacing w:val="-7"/>
          <w:sz w:val="22"/>
          <w:szCs w:val="22"/>
        </w:rPr>
        <w:t xml:space="preserve"> </w:t>
      </w:r>
      <w:r w:rsidRPr="00CD459A">
        <w:rPr>
          <w:rFonts w:ascii="Verdana" w:hAnsi="Verdana" w:cs="Arial"/>
          <w:sz w:val="22"/>
          <w:szCs w:val="22"/>
        </w:rPr>
        <w:t>saldos</w:t>
      </w:r>
      <w:r w:rsidRPr="00CD459A">
        <w:rPr>
          <w:rFonts w:ascii="Verdana" w:hAnsi="Verdana" w:cs="Arial"/>
          <w:spacing w:val="-8"/>
          <w:sz w:val="22"/>
          <w:szCs w:val="22"/>
        </w:rPr>
        <w:t xml:space="preserve"> </w:t>
      </w:r>
      <w:r w:rsidRPr="00CD459A">
        <w:rPr>
          <w:rFonts w:ascii="Verdana" w:hAnsi="Verdana" w:cs="Arial"/>
          <w:sz w:val="22"/>
          <w:szCs w:val="22"/>
        </w:rPr>
        <w:t>contables,</w:t>
      </w:r>
      <w:r w:rsidRPr="00CD459A">
        <w:rPr>
          <w:rFonts w:ascii="Verdana" w:hAnsi="Verdana" w:cs="Arial"/>
          <w:spacing w:val="-9"/>
          <w:sz w:val="22"/>
          <w:szCs w:val="22"/>
        </w:rPr>
        <w:t xml:space="preserve"> </w:t>
      </w:r>
      <w:r w:rsidRPr="00CD459A">
        <w:rPr>
          <w:rFonts w:ascii="Verdana" w:hAnsi="Verdana" w:cs="Arial"/>
          <w:sz w:val="22"/>
          <w:szCs w:val="22"/>
        </w:rPr>
        <w:t>frente</w:t>
      </w:r>
      <w:r w:rsidRPr="00CD459A">
        <w:rPr>
          <w:rFonts w:ascii="Verdana" w:hAnsi="Verdana" w:cs="Arial"/>
          <w:spacing w:val="-7"/>
          <w:sz w:val="22"/>
          <w:szCs w:val="22"/>
        </w:rPr>
        <w:t xml:space="preserve"> </w:t>
      </w:r>
      <w:r w:rsidRPr="00CD459A">
        <w:rPr>
          <w:rFonts w:ascii="Verdana" w:hAnsi="Verdana" w:cs="Arial"/>
          <w:sz w:val="22"/>
          <w:szCs w:val="22"/>
        </w:rPr>
        <w:t>a</w:t>
      </w:r>
      <w:r w:rsidRPr="00CD459A">
        <w:rPr>
          <w:rFonts w:ascii="Verdana" w:hAnsi="Verdana" w:cs="Arial"/>
          <w:spacing w:val="-7"/>
          <w:sz w:val="22"/>
          <w:szCs w:val="22"/>
        </w:rPr>
        <w:t xml:space="preserve"> </w:t>
      </w:r>
      <w:r w:rsidRPr="00CD459A">
        <w:rPr>
          <w:rFonts w:ascii="Verdana" w:hAnsi="Verdana" w:cs="Arial"/>
          <w:sz w:val="22"/>
          <w:szCs w:val="22"/>
        </w:rPr>
        <w:t>los</w:t>
      </w:r>
      <w:r w:rsidRPr="00CD459A">
        <w:rPr>
          <w:rFonts w:ascii="Verdana" w:hAnsi="Verdana" w:cs="Arial"/>
          <w:spacing w:val="-8"/>
          <w:sz w:val="22"/>
          <w:szCs w:val="22"/>
        </w:rPr>
        <w:t xml:space="preserve"> </w:t>
      </w:r>
      <w:r w:rsidRPr="00CD459A">
        <w:rPr>
          <w:rFonts w:ascii="Verdana" w:hAnsi="Verdana" w:cs="Arial"/>
          <w:sz w:val="22"/>
          <w:szCs w:val="22"/>
        </w:rPr>
        <w:t>aportes,</w:t>
      </w:r>
      <w:r w:rsidRPr="00CD459A">
        <w:rPr>
          <w:rFonts w:ascii="Verdana" w:hAnsi="Verdana" w:cs="Arial"/>
          <w:spacing w:val="-9"/>
          <w:sz w:val="22"/>
          <w:szCs w:val="22"/>
        </w:rPr>
        <w:t xml:space="preserve"> </w:t>
      </w:r>
      <w:r w:rsidRPr="00CD459A">
        <w:rPr>
          <w:rFonts w:ascii="Verdana" w:hAnsi="Verdana" w:cs="Arial"/>
          <w:sz w:val="22"/>
          <w:szCs w:val="22"/>
        </w:rPr>
        <w:t>retiros,</w:t>
      </w:r>
      <w:r w:rsidRPr="00CD459A">
        <w:rPr>
          <w:rFonts w:ascii="Verdana" w:hAnsi="Verdana" w:cs="Arial"/>
          <w:spacing w:val="-10"/>
          <w:sz w:val="22"/>
          <w:szCs w:val="22"/>
        </w:rPr>
        <w:t xml:space="preserve"> </w:t>
      </w:r>
      <w:r w:rsidRPr="00CD459A">
        <w:rPr>
          <w:rFonts w:ascii="Verdana" w:hAnsi="Verdana" w:cs="Arial"/>
          <w:sz w:val="22"/>
          <w:szCs w:val="22"/>
        </w:rPr>
        <w:t>utilidades</w:t>
      </w:r>
      <w:r w:rsidRPr="00CD459A">
        <w:rPr>
          <w:rFonts w:ascii="Verdana" w:hAnsi="Verdana" w:cs="Arial"/>
          <w:spacing w:val="-6"/>
          <w:sz w:val="22"/>
          <w:szCs w:val="22"/>
        </w:rPr>
        <w:t xml:space="preserve"> </w:t>
      </w:r>
      <w:r w:rsidRPr="00CD459A">
        <w:rPr>
          <w:rFonts w:ascii="Verdana" w:hAnsi="Verdana" w:cs="Arial"/>
          <w:sz w:val="22"/>
          <w:szCs w:val="22"/>
        </w:rPr>
        <w:t>y</w:t>
      </w:r>
      <w:r w:rsidRPr="00CD459A">
        <w:rPr>
          <w:rFonts w:ascii="Verdana" w:hAnsi="Verdana" w:cs="Arial"/>
          <w:spacing w:val="-7"/>
          <w:sz w:val="22"/>
          <w:szCs w:val="22"/>
        </w:rPr>
        <w:t xml:space="preserve"> </w:t>
      </w:r>
      <w:r w:rsidRPr="00CD459A">
        <w:rPr>
          <w:rFonts w:ascii="Verdana" w:hAnsi="Verdana" w:cs="Arial"/>
          <w:sz w:val="22"/>
          <w:szCs w:val="22"/>
        </w:rPr>
        <w:t>saldo</w:t>
      </w:r>
      <w:r w:rsidRPr="00CD459A">
        <w:rPr>
          <w:rFonts w:ascii="Verdana" w:hAnsi="Verdana" w:cs="Arial"/>
          <w:spacing w:val="-7"/>
          <w:sz w:val="22"/>
          <w:szCs w:val="22"/>
        </w:rPr>
        <w:t xml:space="preserve"> </w:t>
      </w:r>
      <w:r w:rsidRPr="00CD459A">
        <w:rPr>
          <w:rFonts w:ascii="Verdana" w:hAnsi="Verdana" w:cs="Arial"/>
          <w:sz w:val="22"/>
          <w:szCs w:val="22"/>
        </w:rPr>
        <w:t>del</w:t>
      </w:r>
      <w:r w:rsidRPr="00CD459A">
        <w:rPr>
          <w:rFonts w:ascii="Verdana" w:hAnsi="Verdana" w:cs="Arial"/>
          <w:spacing w:val="-6"/>
          <w:sz w:val="22"/>
          <w:szCs w:val="22"/>
        </w:rPr>
        <w:t xml:space="preserve"> </w:t>
      </w:r>
      <w:r w:rsidRPr="00CD459A">
        <w:rPr>
          <w:rFonts w:ascii="Verdana" w:hAnsi="Verdana" w:cs="Arial"/>
          <w:sz w:val="22"/>
          <w:szCs w:val="22"/>
        </w:rPr>
        <w:t>fideicomiso</w:t>
      </w:r>
      <w:r w:rsidRPr="00CD459A">
        <w:rPr>
          <w:rFonts w:ascii="Verdana" w:hAnsi="Verdana" w:cs="Arial"/>
          <w:spacing w:val="-8"/>
          <w:sz w:val="22"/>
          <w:szCs w:val="22"/>
        </w:rPr>
        <w:t xml:space="preserve"> </w:t>
      </w:r>
      <w:r w:rsidRPr="00CD459A">
        <w:rPr>
          <w:rFonts w:ascii="Verdana" w:hAnsi="Verdana" w:cs="Arial"/>
          <w:sz w:val="22"/>
          <w:szCs w:val="22"/>
        </w:rPr>
        <w:t>FAE en dólares americanos expresados en pesos a la TRM del último día de cada</w:t>
      </w:r>
      <w:r w:rsidRPr="00CD459A">
        <w:rPr>
          <w:rFonts w:ascii="Verdana" w:hAnsi="Verdana" w:cs="Arial"/>
          <w:spacing w:val="-1"/>
          <w:sz w:val="22"/>
          <w:szCs w:val="22"/>
        </w:rPr>
        <w:t xml:space="preserve"> </w:t>
      </w:r>
      <w:r w:rsidRPr="00CD459A">
        <w:rPr>
          <w:rFonts w:ascii="Verdana" w:hAnsi="Verdana" w:cs="Arial"/>
          <w:sz w:val="22"/>
          <w:szCs w:val="22"/>
        </w:rPr>
        <w:t>periodo.</w:t>
      </w:r>
    </w:p>
    <w:p w14:paraId="0EA0BF84" w14:textId="77777777" w:rsidR="007C7EF4" w:rsidRPr="00CD459A" w:rsidRDefault="007C7EF4" w:rsidP="007C7EF4">
      <w:pPr>
        <w:pStyle w:val="Textoindependiente"/>
        <w:spacing w:before="1"/>
        <w:ind w:left="899"/>
        <w:rPr>
          <w:rFonts w:ascii="Verdana" w:hAnsi="Verdana" w:cs="Arial"/>
          <w:sz w:val="22"/>
          <w:szCs w:val="22"/>
        </w:rPr>
      </w:pPr>
    </w:p>
    <w:p w14:paraId="47DFDDFB" w14:textId="77777777" w:rsidR="007C7EF4" w:rsidRPr="00CD459A" w:rsidRDefault="007C7EF4" w:rsidP="007C7EF4">
      <w:pPr>
        <w:pStyle w:val="Textoindependiente"/>
        <w:spacing w:before="1"/>
        <w:ind w:left="899"/>
        <w:rPr>
          <w:rFonts w:ascii="Verdana" w:hAnsi="Verdana" w:cs="Arial"/>
          <w:sz w:val="22"/>
          <w:szCs w:val="22"/>
        </w:rPr>
      </w:pPr>
      <w:r w:rsidRPr="00CD459A">
        <w:rPr>
          <w:rFonts w:ascii="Verdana" w:hAnsi="Verdana" w:cs="Arial"/>
          <w:sz w:val="22"/>
          <w:szCs w:val="22"/>
        </w:rPr>
        <w:t>REVELACIONES</w:t>
      </w:r>
    </w:p>
    <w:p w14:paraId="7253B468" w14:textId="77777777" w:rsidR="007C7EF4" w:rsidRPr="00CD459A" w:rsidRDefault="007C7EF4" w:rsidP="007C7EF4">
      <w:pPr>
        <w:pStyle w:val="Textoindependiente"/>
        <w:spacing w:before="8"/>
        <w:rPr>
          <w:rFonts w:ascii="Verdana" w:hAnsi="Verdana" w:cs="Arial"/>
          <w:sz w:val="22"/>
          <w:szCs w:val="22"/>
        </w:rPr>
      </w:pPr>
    </w:p>
    <w:p w14:paraId="103CEBE6" w14:textId="77777777" w:rsidR="007C7EF4" w:rsidRPr="00CD459A" w:rsidRDefault="007C7EF4" w:rsidP="007C7EF4">
      <w:pPr>
        <w:pStyle w:val="Textoindependiente"/>
        <w:spacing w:before="56"/>
        <w:ind w:right="1278"/>
        <w:rPr>
          <w:rFonts w:ascii="Verdana" w:hAnsi="Verdana" w:cs="Arial"/>
          <w:sz w:val="22"/>
          <w:szCs w:val="22"/>
        </w:rPr>
      </w:pPr>
      <w:r w:rsidRPr="00CD459A">
        <w:rPr>
          <w:rFonts w:ascii="Verdana" w:hAnsi="Verdana" w:cs="Arial"/>
          <w:sz w:val="22"/>
          <w:szCs w:val="22"/>
        </w:rPr>
        <w:t>Del Fondo de Ahorro y estabilización - FAE mensualmente se revela el valor total del Fondo en</w:t>
      </w:r>
      <w:r w:rsidRPr="00CD459A">
        <w:rPr>
          <w:rFonts w:ascii="Verdana" w:hAnsi="Verdana" w:cs="Arial"/>
          <w:spacing w:val="1"/>
          <w:sz w:val="22"/>
          <w:szCs w:val="22"/>
        </w:rPr>
        <w:t xml:space="preserve"> </w:t>
      </w:r>
      <w:r w:rsidRPr="00CD459A">
        <w:rPr>
          <w:rFonts w:ascii="Verdana" w:hAnsi="Verdana" w:cs="Arial"/>
          <w:sz w:val="22"/>
          <w:szCs w:val="22"/>
        </w:rPr>
        <w:t>dólares americanos, en unidades y en pesos. También se detalla el saldo inicial, el valor de los</w:t>
      </w:r>
      <w:r w:rsidRPr="00CD459A">
        <w:rPr>
          <w:rFonts w:ascii="Verdana" w:hAnsi="Verdana" w:cs="Arial"/>
          <w:spacing w:val="1"/>
          <w:sz w:val="22"/>
          <w:szCs w:val="22"/>
        </w:rPr>
        <w:t xml:space="preserve"> </w:t>
      </w:r>
      <w:r w:rsidRPr="00CD459A">
        <w:rPr>
          <w:rFonts w:ascii="Verdana" w:hAnsi="Verdana" w:cs="Arial"/>
          <w:sz w:val="22"/>
          <w:szCs w:val="22"/>
        </w:rPr>
        <w:t>aportes,</w:t>
      </w:r>
      <w:r w:rsidRPr="00CD459A">
        <w:rPr>
          <w:rFonts w:ascii="Verdana" w:hAnsi="Verdana" w:cs="Arial"/>
          <w:spacing w:val="-5"/>
          <w:sz w:val="22"/>
          <w:szCs w:val="22"/>
        </w:rPr>
        <w:t xml:space="preserve"> </w:t>
      </w:r>
      <w:r w:rsidRPr="00CD459A">
        <w:rPr>
          <w:rFonts w:ascii="Verdana" w:hAnsi="Verdana" w:cs="Arial"/>
          <w:sz w:val="22"/>
          <w:szCs w:val="22"/>
        </w:rPr>
        <w:t>retiros</w:t>
      </w:r>
      <w:r w:rsidRPr="00CD459A">
        <w:rPr>
          <w:rFonts w:ascii="Verdana" w:hAnsi="Verdana" w:cs="Arial"/>
          <w:spacing w:val="-3"/>
          <w:sz w:val="22"/>
          <w:szCs w:val="22"/>
        </w:rPr>
        <w:t xml:space="preserve"> </w:t>
      </w:r>
      <w:r w:rsidRPr="00CD459A">
        <w:rPr>
          <w:rFonts w:ascii="Verdana" w:hAnsi="Verdana" w:cs="Arial"/>
          <w:sz w:val="22"/>
          <w:szCs w:val="22"/>
        </w:rPr>
        <w:t>utilidades</w:t>
      </w:r>
      <w:r w:rsidRPr="00CD459A">
        <w:rPr>
          <w:rFonts w:ascii="Verdana" w:hAnsi="Verdana" w:cs="Arial"/>
          <w:spacing w:val="-1"/>
          <w:sz w:val="22"/>
          <w:szCs w:val="22"/>
        </w:rPr>
        <w:t xml:space="preserve"> </w:t>
      </w:r>
      <w:r w:rsidRPr="00CD459A">
        <w:rPr>
          <w:rFonts w:ascii="Verdana" w:hAnsi="Verdana" w:cs="Arial"/>
          <w:sz w:val="22"/>
          <w:szCs w:val="22"/>
        </w:rPr>
        <w:t>y</w:t>
      </w:r>
      <w:r w:rsidRPr="00CD459A">
        <w:rPr>
          <w:rFonts w:ascii="Verdana" w:hAnsi="Verdana" w:cs="Arial"/>
          <w:spacing w:val="-3"/>
          <w:sz w:val="22"/>
          <w:szCs w:val="22"/>
        </w:rPr>
        <w:t xml:space="preserve"> </w:t>
      </w:r>
      <w:r w:rsidRPr="00CD459A">
        <w:rPr>
          <w:rFonts w:ascii="Verdana" w:hAnsi="Verdana" w:cs="Arial"/>
          <w:sz w:val="22"/>
          <w:szCs w:val="22"/>
        </w:rPr>
        <w:t>saldo</w:t>
      </w:r>
      <w:r w:rsidRPr="00CD459A">
        <w:rPr>
          <w:rFonts w:ascii="Verdana" w:hAnsi="Verdana" w:cs="Arial"/>
          <w:spacing w:val="-3"/>
          <w:sz w:val="22"/>
          <w:szCs w:val="22"/>
        </w:rPr>
        <w:t xml:space="preserve"> </w:t>
      </w:r>
      <w:r w:rsidRPr="00CD459A">
        <w:rPr>
          <w:rFonts w:ascii="Verdana" w:hAnsi="Verdana" w:cs="Arial"/>
          <w:sz w:val="22"/>
          <w:szCs w:val="22"/>
        </w:rPr>
        <w:t>final</w:t>
      </w:r>
      <w:r w:rsidRPr="00CD459A">
        <w:rPr>
          <w:rFonts w:ascii="Verdana" w:hAnsi="Verdana" w:cs="Arial"/>
          <w:spacing w:val="-1"/>
          <w:sz w:val="22"/>
          <w:szCs w:val="22"/>
        </w:rPr>
        <w:t xml:space="preserve"> </w:t>
      </w:r>
      <w:r w:rsidRPr="00CD459A">
        <w:rPr>
          <w:rFonts w:ascii="Verdana" w:hAnsi="Verdana" w:cs="Arial"/>
          <w:sz w:val="22"/>
          <w:szCs w:val="22"/>
        </w:rPr>
        <w:t>en</w:t>
      </w:r>
      <w:r w:rsidRPr="00CD459A">
        <w:rPr>
          <w:rFonts w:ascii="Verdana" w:hAnsi="Verdana" w:cs="Arial"/>
          <w:spacing w:val="-3"/>
          <w:sz w:val="22"/>
          <w:szCs w:val="22"/>
        </w:rPr>
        <w:t xml:space="preserve"> </w:t>
      </w:r>
      <w:r w:rsidRPr="00CD459A">
        <w:rPr>
          <w:rFonts w:ascii="Verdana" w:hAnsi="Verdana" w:cs="Arial"/>
          <w:sz w:val="22"/>
          <w:szCs w:val="22"/>
        </w:rPr>
        <w:t>USD</w:t>
      </w:r>
      <w:r w:rsidRPr="00CD459A">
        <w:rPr>
          <w:rFonts w:ascii="Verdana" w:hAnsi="Verdana" w:cs="Arial"/>
          <w:spacing w:val="-4"/>
          <w:sz w:val="22"/>
          <w:szCs w:val="22"/>
        </w:rPr>
        <w:t xml:space="preserve"> </w:t>
      </w:r>
      <w:r w:rsidRPr="00CD459A">
        <w:rPr>
          <w:rFonts w:ascii="Verdana" w:hAnsi="Verdana" w:cs="Arial"/>
          <w:sz w:val="22"/>
          <w:szCs w:val="22"/>
        </w:rPr>
        <w:t>por</w:t>
      </w:r>
      <w:r w:rsidRPr="00CD459A">
        <w:rPr>
          <w:rFonts w:ascii="Verdana" w:hAnsi="Verdana" w:cs="Arial"/>
          <w:spacing w:val="-3"/>
          <w:sz w:val="22"/>
          <w:szCs w:val="22"/>
        </w:rPr>
        <w:t xml:space="preserve"> </w:t>
      </w:r>
      <w:r w:rsidRPr="00CD459A">
        <w:rPr>
          <w:rFonts w:ascii="Verdana" w:hAnsi="Verdana" w:cs="Arial"/>
          <w:sz w:val="22"/>
          <w:szCs w:val="22"/>
        </w:rPr>
        <w:t>cada</w:t>
      </w:r>
      <w:r w:rsidRPr="00CD459A">
        <w:rPr>
          <w:rFonts w:ascii="Verdana" w:hAnsi="Verdana" w:cs="Arial"/>
          <w:spacing w:val="-3"/>
          <w:sz w:val="22"/>
          <w:szCs w:val="22"/>
        </w:rPr>
        <w:t xml:space="preserve"> </w:t>
      </w:r>
      <w:r w:rsidRPr="00CD459A">
        <w:rPr>
          <w:rFonts w:ascii="Verdana" w:hAnsi="Verdana" w:cs="Arial"/>
          <w:sz w:val="22"/>
          <w:szCs w:val="22"/>
        </w:rPr>
        <w:t>participe</w:t>
      </w:r>
      <w:r w:rsidRPr="00CD459A">
        <w:rPr>
          <w:rFonts w:ascii="Verdana" w:hAnsi="Verdana" w:cs="Arial"/>
          <w:spacing w:val="-2"/>
          <w:sz w:val="22"/>
          <w:szCs w:val="22"/>
        </w:rPr>
        <w:t xml:space="preserve"> </w:t>
      </w:r>
      <w:r w:rsidRPr="00CD459A">
        <w:rPr>
          <w:rFonts w:ascii="Verdana" w:hAnsi="Verdana" w:cs="Arial"/>
          <w:sz w:val="22"/>
          <w:szCs w:val="22"/>
        </w:rPr>
        <w:t>y</w:t>
      </w:r>
      <w:r w:rsidRPr="00CD459A">
        <w:rPr>
          <w:rFonts w:ascii="Verdana" w:hAnsi="Verdana" w:cs="Arial"/>
          <w:spacing w:val="-3"/>
          <w:sz w:val="22"/>
          <w:szCs w:val="22"/>
        </w:rPr>
        <w:t xml:space="preserve"> </w:t>
      </w:r>
      <w:r w:rsidRPr="00CD459A">
        <w:rPr>
          <w:rFonts w:ascii="Verdana" w:hAnsi="Verdana" w:cs="Arial"/>
          <w:sz w:val="22"/>
          <w:szCs w:val="22"/>
        </w:rPr>
        <w:t>su</w:t>
      </w:r>
      <w:r w:rsidRPr="00CD459A">
        <w:rPr>
          <w:rFonts w:ascii="Verdana" w:hAnsi="Verdana" w:cs="Arial"/>
          <w:spacing w:val="-3"/>
          <w:sz w:val="22"/>
          <w:szCs w:val="22"/>
        </w:rPr>
        <w:t xml:space="preserve"> </w:t>
      </w:r>
      <w:r w:rsidRPr="00CD459A">
        <w:rPr>
          <w:rFonts w:ascii="Verdana" w:hAnsi="Verdana" w:cs="Arial"/>
          <w:sz w:val="22"/>
          <w:szCs w:val="22"/>
        </w:rPr>
        <w:t>porcentaje</w:t>
      </w:r>
      <w:r w:rsidRPr="00CD459A">
        <w:rPr>
          <w:rFonts w:ascii="Verdana" w:hAnsi="Verdana" w:cs="Arial"/>
          <w:spacing w:val="-3"/>
          <w:sz w:val="22"/>
          <w:szCs w:val="22"/>
        </w:rPr>
        <w:t xml:space="preserve"> </w:t>
      </w:r>
      <w:r w:rsidRPr="00CD459A">
        <w:rPr>
          <w:rFonts w:ascii="Verdana" w:hAnsi="Verdana" w:cs="Arial"/>
          <w:sz w:val="22"/>
          <w:szCs w:val="22"/>
        </w:rPr>
        <w:t>de</w:t>
      </w:r>
      <w:r w:rsidRPr="00CD459A">
        <w:rPr>
          <w:rFonts w:ascii="Verdana" w:hAnsi="Verdana" w:cs="Arial"/>
          <w:spacing w:val="-3"/>
          <w:sz w:val="22"/>
          <w:szCs w:val="22"/>
        </w:rPr>
        <w:t xml:space="preserve"> </w:t>
      </w:r>
      <w:r w:rsidRPr="00CD459A">
        <w:rPr>
          <w:rFonts w:ascii="Verdana" w:hAnsi="Verdana" w:cs="Arial"/>
          <w:sz w:val="22"/>
          <w:szCs w:val="22"/>
        </w:rPr>
        <w:t>participación.</w:t>
      </w:r>
    </w:p>
    <w:p w14:paraId="0C32A29C" w14:textId="77777777" w:rsidR="007C7EF4" w:rsidRPr="00CD459A" w:rsidRDefault="007C7EF4" w:rsidP="007C7EF4">
      <w:pPr>
        <w:pStyle w:val="Textoindependiente"/>
        <w:spacing w:before="1"/>
        <w:rPr>
          <w:rFonts w:ascii="Verdana" w:hAnsi="Verdana" w:cs="Arial"/>
          <w:sz w:val="22"/>
          <w:szCs w:val="22"/>
        </w:rPr>
      </w:pPr>
    </w:p>
    <w:p w14:paraId="0D94FC2A"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DINÁMICA</w:t>
      </w:r>
    </w:p>
    <w:p w14:paraId="279A814B" w14:textId="77777777" w:rsidR="007C7EF4" w:rsidRPr="00CD459A" w:rsidRDefault="007C7EF4" w:rsidP="007C7EF4">
      <w:pPr>
        <w:pStyle w:val="Textoindependiente"/>
        <w:rPr>
          <w:rFonts w:ascii="Verdana" w:hAnsi="Verdana" w:cs="Arial"/>
          <w:sz w:val="22"/>
          <w:szCs w:val="22"/>
        </w:rPr>
      </w:pPr>
    </w:p>
    <w:p w14:paraId="6D5EF043"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SE</w:t>
      </w:r>
      <w:r w:rsidRPr="00CD459A">
        <w:rPr>
          <w:rFonts w:ascii="Verdana" w:hAnsi="Verdana" w:cs="Arial"/>
          <w:spacing w:val="-7"/>
          <w:sz w:val="22"/>
          <w:szCs w:val="22"/>
        </w:rPr>
        <w:t xml:space="preserve"> </w:t>
      </w:r>
      <w:r w:rsidRPr="00CD459A">
        <w:rPr>
          <w:rFonts w:ascii="Verdana" w:hAnsi="Verdana" w:cs="Arial"/>
          <w:sz w:val="22"/>
          <w:szCs w:val="22"/>
        </w:rPr>
        <w:t>DEBITA</w:t>
      </w:r>
      <w:r w:rsidRPr="00CD459A">
        <w:rPr>
          <w:rFonts w:ascii="Verdana" w:hAnsi="Verdana" w:cs="Arial"/>
          <w:spacing w:val="-2"/>
          <w:sz w:val="22"/>
          <w:szCs w:val="22"/>
        </w:rPr>
        <w:t xml:space="preserve"> </w:t>
      </w:r>
      <w:r w:rsidRPr="00CD459A">
        <w:rPr>
          <w:rFonts w:ascii="Verdana" w:hAnsi="Verdana" w:cs="Arial"/>
          <w:sz w:val="22"/>
          <w:szCs w:val="22"/>
        </w:rPr>
        <w:t>CON:</w:t>
      </w:r>
    </w:p>
    <w:p w14:paraId="6E342842" w14:textId="77777777" w:rsidR="007C7EF4" w:rsidRPr="00CD459A" w:rsidRDefault="007C7EF4" w:rsidP="007C7EF4">
      <w:pPr>
        <w:pStyle w:val="Textoindependiente"/>
        <w:spacing w:before="1"/>
        <w:rPr>
          <w:rFonts w:ascii="Verdana" w:hAnsi="Verdana" w:cs="Arial"/>
          <w:sz w:val="22"/>
          <w:szCs w:val="22"/>
        </w:rPr>
      </w:pPr>
    </w:p>
    <w:p w14:paraId="61F957CC"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w:t>
      </w:r>
      <w:r w:rsidRPr="00CD459A">
        <w:rPr>
          <w:rFonts w:ascii="Verdana" w:hAnsi="Verdana" w:cs="Arial"/>
          <w:spacing w:val="-2"/>
        </w:rPr>
        <w:t xml:space="preserve"> </w:t>
      </w:r>
      <w:r w:rsidRPr="00CD459A">
        <w:rPr>
          <w:rFonts w:ascii="Verdana" w:hAnsi="Verdana" w:cs="Arial"/>
        </w:rPr>
        <w:t>valor</w:t>
      </w:r>
      <w:r w:rsidRPr="00CD459A">
        <w:rPr>
          <w:rFonts w:ascii="Verdana" w:hAnsi="Verdana" w:cs="Arial"/>
          <w:spacing w:val="-4"/>
        </w:rPr>
        <w:t xml:space="preserve"> </w:t>
      </w:r>
      <w:r w:rsidRPr="00CD459A">
        <w:rPr>
          <w:rFonts w:ascii="Verdana" w:hAnsi="Verdana" w:cs="Arial"/>
        </w:rPr>
        <w:t>de</w:t>
      </w:r>
      <w:r w:rsidRPr="00CD459A">
        <w:rPr>
          <w:rFonts w:ascii="Verdana" w:hAnsi="Verdana" w:cs="Arial"/>
          <w:spacing w:val="-4"/>
        </w:rPr>
        <w:t xml:space="preserve"> </w:t>
      </w:r>
      <w:r w:rsidRPr="00CD459A">
        <w:rPr>
          <w:rFonts w:ascii="Verdana" w:hAnsi="Verdana" w:cs="Arial"/>
        </w:rPr>
        <w:t>los</w:t>
      </w:r>
      <w:r w:rsidRPr="00CD459A">
        <w:rPr>
          <w:rFonts w:ascii="Verdana" w:hAnsi="Verdana" w:cs="Arial"/>
          <w:spacing w:val="-3"/>
        </w:rPr>
        <w:t xml:space="preserve"> </w:t>
      </w:r>
      <w:r w:rsidRPr="00CD459A">
        <w:rPr>
          <w:rFonts w:ascii="Verdana" w:hAnsi="Verdana" w:cs="Arial"/>
        </w:rPr>
        <w:t>aportes</w:t>
      </w:r>
      <w:r w:rsidRPr="00CD459A">
        <w:rPr>
          <w:rFonts w:ascii="Verdana" w:hAnsi="Verdana" w:cs="Arial"/>
          <w:spacing w:val="-3"/>
        </w:rPr>
        <w:t xml:space="preserve"> </w:t>
      </w:r>
      <w:r w:rsidRPr="00CD459A">
        <w:rPr>
          <w:rFonts w:ascii="Verdana" w:hAnsi="Verdana" w:cs="Arial"/>
        </w:rPr>
        <w:t>al</w:t>
      </w:r>
      <w:r w:rsidRPr="00CD459A">
        <w:rPr>
          <w:rFonts w:ascii="Verdana" w:hAnsi="Verdana" w:cs="Arial"/>
          <w:spacing w:val="-3"/>
        </w:rPr>
        <w:t xml:space="preserve"> </w:t>
      </w:r>
      <w:r w:rsidRPr="00CD459A">
        <w:rPr>
          <w:rFonts w:ascii="Verdana" w:hAnsi="Verdana" w:cs="Arial"/>
        </w:rPr>
        <w:t>Fondo</w:t>
      </w:r>
      <w:r w:rsidRPr="00CD459A">
        <w:rPr>
          <w:rFonts w:ascii="Verdana" w:hAnsi="Verdana" w:cs="Arial"/>
          <w:spacing w:val="-4"/>
        </w:rPr>
        <w:t xml:space="preserve"> </w:t>
      </w:r>
      <w:r w:rsidRPr="00CD459A">
        <w:rPr>
          <w:rFonts w:ascii="Verdana" w:hAnsi="Verdana" w:cs="Arial"/>
        </w:rPr>
        <w:t>de</w:t>
      </w:r>
      <w:r w:rsidRPr="00CD459A">
        <w:rPr>
          <w:rFonts w:ascii="Verdana" w:hAnsi="Verdana" w:cs="Arial"/>
          <w:spacing w:val="-4"/>
        </w:rPr>
        <w:t xml:space="preserve"> </w:t>
      </w:r>
      <w:r w:rsidRPr="00CD459A">
        <w:rPr>
          <w:rFonts w:ascii="Verdana" w:hAnsi="Verdana" w:cs="Arial"/>
        </w:rPr>
        <w:t>Ahorro</w:t>
      </w:r>
      <w:r w:rsidRPr="00CD459A">
        <w:rPr>
          <w:rFonts w:ascii="Verdana" w:hAnsi="Verdana" w:cs="Arial"/>
          <w:spacing w:val="-5"/>
        </w:rPr>
        <w:t xml:space="preserve"> </w:t>
      </w:r>
      <w:r w:rsidRPr="00CD459A">
        <w:rPr>
          <w:rFonts w:ascii="Verdana" w:hAnsi="Verdana" w:cs="Arial"/>
        </w:rPr>
        <w:t>y</w:t>
      </w:r>
      <w:r w:rsidRPr="00CD459A">
        <w:rPr>
          <w:rFonts w:ascii="Verdana" w:hAnsi="Verdana" w:cs="Arial"/>
          <w:spacing w:val="-4"/>
        </w:rPr>
        <w:t xml:space="preserve"> </w:t>
      </w:r>
      <w:r w:rsidRPr="00CD459A">
        <w:rPr>
          <w:rFonts w:ascii="Verdana" w:hAnsi="Verdana" w:cs="Arial"/>
        </w:rPr>
        <w:t>Estabilización</w:t>
      </w:r>
      <w:r w:rsidRPr="00CD459A">
        <w:rPr>
          <w:rFonts w:ascii="Verdana" w:hAnsi="Verdana" w:cs="Arial"/>
          <w:spacing w:val="-1"/>
        </w:rPr>
        <w:t xml:space="preserve"> </w:t>
      </w:r>
      <w:r w:rsidRPr="00CD459A">
        <w:rPr>
          <w:rFonts w:ascii="Verdana" w:hAnsi="Verdana" w:cs="Arial"/>
        </w:rPr>
        <w:t>–</w:t>
      </w:r>
      <w:r w:rsidRPr="00CD459A">
        <w:rPr>
          <w:rFonts w:ascii="Verdana" w:hAnsi="Verdana" w:cs="Arial"/>
          <w:spacing w:val="-3"/>
        </w:rPr>
        <w:t xml:space="preserve"> </w:t>
      </w:r>
      <w:r w:rsidRPr="00CD459A">
        <w:rPr>
          <w:rFonts w:ascii="Verdana" w:hAnsi="Verdana" w:cs="Arial"/>
        </w:rPr>
        <w:t>FAE,</w:t>
      </w:r>
      <w:r w:rsidRPr="00CD459A">
        <w:rPr>
          <w:rFonts w:ascii="Verdana" w:hAnsi="Verdana" w:cs="Arial"/>
          <w:spacing w:val="-7"/>
        </w:rPr>
        <w:t xml:space="preserve"> </w:t>
      </w:r>
      <w:r w:rsidRPr="00CD459A">
        <w:rPr>
          <w:rFonts w:ascii="Verdana" w:hAnsi="Verdana" w:cs="Arial"/>
        </w:rPr>
        <w:t>con crédito</w:t>
      </w:r>
      <w:r w:rsidRPr="00CD459A">
        <w:rPr>
          <w:rFonts w:ascii="Verdana" w:hAnsi="Verdana" w:cs="Arial"/>
          <w:spacing w:val="-4"/>
        </w:rPr>
        <w:t xml:space="preserve"> </w:t>
      </w:r>
      <w:r w:rsidRPr="00CD459A">
        <w:rPr>
          <w:rFonts w:ascii="Verdana" w:hAnsi="Verdana" w:cs="Arial"/>
        </w:rPr>
        <w:t>a</w:t>
      </w:r>
      <w:r w:rsidRPr="00CD459A">
        <w:rPr>
          <w:rFonts w:ascii="Verdana" w:hAnsi="Verdana" w:cs="Arial"/>
          <w:spacing w:val="-4"/>
        </w:rPr>
        <w:t xml:space="preserve"> </w:t>
      </w:r>
      <w:r w:rsidRPr="00CD459A">
        <w:rPr>
          <w:rFonts w:ascii="Verdana" w:hAnsi="Verdana" w:cs="Arial"/>
        </w:rPr>
        <w:t>la</w:t>
      </w:r>
      <w:r w:rsidRPr="00CD459A">
        <w:rPr>
          <w:rFonts w:ascii="Verdana" w:hAnsi="Verdana" w:cs="Arial"/>
          <w:spacing w:val="-4"/>
        </w:rPr>
        <w:t xml:space="preserve"> </w:t>
      </w:r>
      <w:r w:rsidRPr="00CD459A">
        <w:rPr>
          <w:rFonts w:ascii="Verdana" w:hAnsi="Verdana" w:cs="Arial"/>
        </w:rPr>
        <w:t>subcuenta</w:t>
      </w:r>
      <w:r w:rsidRPr="00CD459A">
        <w:rPr>
          <w:rFonts w:ascii="Verdana" w:hAnsi="Verdana" w:cs="Arial"/>
          <w:spacing w:val="-46"/>
        </w:rPr>
        <w:t xml:space="preserve"> </w:t>
      </w:r>
      <w:r w:rsidRPr="00CD459A">
        <w:rPr>
          <w:rFonts w:ascii="Verdana" w:hAnsi="Verdana" w:cs="Arial"/>
        </w:rPr>
        <w:t>114001 –</w:t>
      </w:r>
      <w:r w:rsidRPr="00CD459A">
        <w:rPr>
          <w:rFonts w:ascii="Verdana" w:hAnsi="Verdana" w:cs="Arial"/>
          <w:spacing w:val="-1"/>
        </w:rPr>
        <w:t xml:space="preserve"> </w:t>
      </w:r>
      <w:r w:rsidRPr="00CD459A">
        <w:rPr>
          <w:rFonts w:ascii="Verdana" w:hAnsi="Verdana" w:cs="Arial"/>
        </w:rPr>
        <w:t>Cuenta</w:t>
      </w:r>
      <w:r w:rsidRPr="00CD459A">
        <w:rPr>
          <w:rFonts w:ascii="Verdana" w:hAnsi="Verdana" w:cs="Arial"/>
          <w:spacing w:val="-2"/>
        </w:rPr>
        <w:t xml:space="preserve"> </w:t>
      </w:r>
      <w:r w:rsidRPr="00CD459A">
        <w:rPr>
          <w:rFonts w:ascii="Verdana" w:hAnsi="Verdana" w:cs="Arial"/>
        </w:rPr>
        <w:t>Única</w:t>
      </w:r>
      <w:r w:rsidRPr="00CD459A">
        <w:rPr>
          <w:rFonts w:ascii="Verdana" w:hAnsi="Verdana" w:cs="Arial"/>
          <w:spacing w:val="-2"/>
        </w:rPr>
        <w:t xml:space="preserve"> </w:t>
      </w:r>
      <w:r w:rsidRPr="00CD459A">
        <w:rPr>
          <w:rFonts w:ascii="Verdana" w:hAnsi="Verdana" w:cs="Arial"/>
        </w:rPr>
        <w:t>Sistema</w:t>
      </w:r>
      <w:r w:rsidRPr="00CD459A">
        <w:rPr>
          <w:rFonts w:ascii="Verdana" w:hAnsi="Verdana" w:cs="Arial"/>
          <w:spacing w:val="-2"/>
        </w:rPr>
        <w:t xml:space="preserve"> </w:t>
      </w:r>
      <w:r w:rsidRPr="00CD459A">
        <w:rPr>
          <w:rFonts w:ascii="Verdana" w:hAnsi="Verdana" w:cs="Arial"/>
        </w:rPr>
        <w:t>General</w:t>
      </w:r>
      <w:r w:rsidRPr="00CD459A">
        <w:rPr>
          <w:rFonts w:ascii="Verdana" w:hAnsi="Verdana" w:cs="Arial"/>
          <w:spacing w:val="-1"/>
        </w:rPr>
        <w:t xml:space="preserve"> </w:t>
      </w:r>
      <w:r w:rsidRPr="00CD459A">
        <w:rPr>
          <w:rFonts w:ascii="Verdana" w:hAnsi="Verdana" w:cs="Arial"/>
        </w:rPr>
        <w:t>de</w:t>
      </w:r>
      <w:r w:rsidRPr="00CD459A">
        <w:rPr>
          <w:rFonts w:ascii="Verdana" w:hAnsi="Verdana" w:cs="Arial"/>
          <w:spacing w:val="-2"/>
        </w:rPr>
        <w:t xml:space="preserve"> </w:t>
      </w:r>
      <w:r w:rsidRPr="00CD459A">
        <w:rPr>
          <w:rFonts w:ascii="Verdana" w:hAnsi="Verdana" w:cs="Arial"/>
        </w:rPr>
        <w:t>Regalías.</w:t>
      </w:r>
    </w:p>
    <w:p w14:paraId="35AA15A3"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w:t>
      </w:r>
      <w:r w:rsidRPr="00CD459A">
        <w:rPr>
          <w:rFonts w:ascii="Verdana" w:hAnsi="Verdana" w:cs="Arial"/>
          <w:spacing w:val="40"/>
        </w:rPr>
        <w:t xml:space="preserve"> </w:t>
      </w:r>
      <w:r w:rsidRPr="00CD459A">
        <w:rPr>
          <w:rFonts w:ascii="Verdana" w:hAnsi="Verdana" w:cs="Arial"/>
        </w:rPr>
        <w:t>valor de las utilidades del Fondo de Ahorro y Estabilización – FAE, con crédito a la subcuenta 480851 - Ganancia por derechos en fideicomiso</w:t>
      </w:r>
    </w:p>
    <w:p w14:paraId="590CD09A"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La valorización del Fondo de Ahorro y Estabilización – FAE por efecto del incremento en la TRM, con crédito a la subcuenta 480651 -</w:t>
      </w:r>
      <w:r w:rsidRPr="00CD459A">
        <w:rPr>
          <w:rFonts w:ascii="Verdana" w:hAnsi="Verdana" w:cs="Arial"/>
          <w:spacing w:val="-3"/>
        </w:rPr>
        <w:t xml:space="preserve"> </w:t>
      </w:r>
      <w:r w:rsidRPr="00CD459A">
        <w:rPr>
          <w:rFonts w:ascii="Verdana" w:hAnsi="Verdana" w:cs="Arial"/>
        </w:rPr>
        <w:t>Fiducia mercantil - Patrimonio autónomo</w:t>
      </w:r>
    </w:p>
    <w:p w14:paraId="5BAB7B3C" w14:textId="77777777" w:rsidR="007C7EF4" w:rsidRPr="00CD459A" w:rsidRDefault="007C7EF4" w:rsidP="007C7EF4">
      <w:pPr>
        <w:pStyle w:val="Textoindependiente"/>
        <w:spacing w:before="3"/>
        <w:rPr>
          <w:rFonts w:ascii="Verdana" w:hAnsi="Verdana" w:cs="Arial"/>
          <w:sz w:val="22"/>
          <w:szCs w:val="22"/>
        </w:rPr>
      </w:pPr>
    </w:p>
    <w:p w14:paraId="5CA39E16" w14:textId="77777777" w:rsidR="007C7EF4" w:rsidRPr="00CD459A" w:rsidRDefault="007C7EF4" w:rsidP="007C7EF4">
      <w:pPr>
        <w:pStyle w:val="Textoindependiente"/>
        <w:ind w:left="142"/>
        <w:rPr>
          <w:rFonts w:ascii="Verdana" w:hAnsi="Verdana" w:cs="Arial"/>
          <w:sz w:val="22"/>
          <w:szCs w:val="22"/>
        </w:rPr>
      </w:pPr>
      <w:r w:rsidRPr="00CD459A">
        <w:rPr>
          <w:rFonts w:ascii="Verdana" w:hAnsi="Verdana" w:cs="Arial"/>
          <w:sz w:val="22"/>
          <w:szCs w:val="22"/>
        </w:rPr>
        <w:t>SE</w:t>
      </w:r>
      <w:r w:rsidRPr="00CD459A">
        <w:rPr>
          <w:rFonts w:ascii="Verdana" w:hAnsi="Verdana" w:cs="Arial"/>
          <w:spacing w:val="-6"/>
          <w:sz w:val="22"/>
          <w:szCs w:val="22"/>
        </w:rPr>
        <w:t xml:space="preserve"> </w:t>
      </w:r>
      <w:r w:rsidRPr="00CD459A">
        <w:rPr>
          <w:rFonts w:ascii="Verdana" w:hAnsi="Verdana" w:cs="Arial"/>
          <w:sz w:val="22"/>
          <w:szCs w:val="22"/>
        </w:rPr>
        <w:t>ACREDITA</w:t>
      </w:r>
      <w:r w:rsidRPr="00CD459A">
        <w:rPr>
          <w:rFonts w:ascii="Verdana" w:hAnsi="Verdana" w:cs="Arial"/>
          <w:spacing w:val="-1"/>
          <w:sz w:val="22"/>
          <w:szCs w:val="22"/>
        </w:rPr>
        <w:t xml:space="preserve"> </w:t>
      </w:r>
      <w:r w:rsidRPr="00CD459A">
        <w:rPr>
          <w:rFonts w:ascii="Verdana" w:hAnsi="Verdana" w:cs="Arial"/>
          <w:sz w:val="22"/>
          <w:szCs w:val="22"/>
        </w:rPr>
        <w:t>CON:</w:t>
      </w:r>
    </w:p>
    <w:p w14:paraId="0BF4A469" w14:textId="77777777" w:rsidR="007C7EF4" w:rsidRPr="00CD459A" w:rsidRDefault="007C7EF4" w:rsidP="007C7EF4">
      <w:pPr>
        <w:pStyle w:val="Textoindependiente"/>
        <w:rPr>
          <w:rFonts w:ascii="Verdana" w:hAnsi="Verdana" w:cs="Arial"/>
          <w:sz w:val="22"/>
          <w:szCs w:val="22"/>
        </w:rPr>
      </w:pPr>
    </w:p>
    <w:p w14:paraId="435411A2"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 valor de los retiros del Fondo de Ahorro y Estabilización – FAE, con debito a la subcuenta 114001 – Cuenta Única Sistema General de Regalías.</w:t>
      </w:r>
    </w:p>
    <w:p w14:paraId="0B354441"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 valor de las pérdidas del Fondo de Ahorro y Estabilización – FAE, con debito a la subcuenta 589035 – Pérdidas en derechos de Fideicomiso.</w:t>
      </w:r>
    </w:p>
    <w:p w14:paraId="15882145"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La desvalorización del Fondo de Ahorro y Estabilización – FAE por efecto de la caída</w:t>
      </w:r>
      <w:r w:rsidRPr="00CD459A">
        <w:rPr>
          <w:rFonts w:ascii="Verdana" w:hAnsi="Verdana" w:cs="Arial"/>
          <w:spacing w:val="14"/>
        </w:rPr>
        <w:t xml:space="preserve"> </w:t>
      </w:r>
      <w:r w:rsidRPr="00CD459A">
        <w:rPr>
          <w:rFonts w:ascii="Verdana" w:hAnsi="Verdana" w:cs="Arial"/>
        </w:rPr>
        <w:t>de</w:t>
      </w:r>
      <w:r w:rsidRPr="00CD459A">
        <w:rPr>
          <w:rFonts w:ascii="Verdana" w:hAnsi="Verdana" w:cs="Arial"/>
          <w:spacing w:val="6"/>
        </w:rPr>
        <w:t xml:space="preserve"> </w:t>
      </w:r>
      <w:r w:rsidRPr="00CD459A">
        <w:rPr>
          <w:rFonts w:ascii="Verdana" w:hAnsi="Verdana" w:cs="Arial"/>
        </w:rPr>
        <w:t>la</w:t>
      </w:r>
      <w:r w:rsidRPr="00CD459A">
        <w:rPr>
          <w:rFonts w:ascii="Verdana" w:hAnsi="Verdana" w:cs="Arial"/>
          <w:spacing w:val="-46"/>
        </w:rPr>
        <w:t xml:space="preserve"> </w:t>
      </w:r>
      <w:r w:rsidRPr="00CD459A">
        <w:rPr>
          <w:rFonts w:ascii="Verdana" w:hAnsi="Verdana" w:cs="Arial"/>
        </w:rPr>
        <w:t>TRM,</w:t>
      </w:r>
      <w:r w:rsidRPr="00CD459A">
        <w:rPr>
          <w:rFonts w:ascii="Verdana" w:hAnsi="Verdana" w:cs="Arial"/>
          <w:spacing w:val="-1"/>
        </w:rPr>
        <w:t xml:space="preserve"> </w:t>
      </w:r>
      <w:r w:rsidRPr="00CD459A">
        <w:rPr>
          <w:rFonts w:ascii="Verdana" w:hAnsi="Verdana" w:cs="Arial"/>
        </w:rPr>
        <w:t>con</w:t>
      </w:r>
      <w:r w:rsidRPr="00CD459A">
        <w:rPr>
          <w:rFonts w:ascii="Verdana" w:hAnsi="Verdana" w:cs="Arial"/>
          <w:spacing w:val="-4"/>
        </w:rPr>
        <w:t xml:space="preserve"> </w:t>
      </w:r>
      <w:r w:rsidRPr="00CD459A">
        <w:rPr>
          <w:rFonts w:ascii="Verdana" w:hAnsi="Verdana" w:cs="Arial"/>
        </w:rPr>
        <w:t>debito a</w:t>
      </w:r>
      <w:r w:rsidRPr="00CD459A">
        <w:rPr>
          <w:rFonts w:ascii="Verdana" w:hAnsi="Verdana" w:cs="Arial"/>
          <w:spacing w:val="-2"/>
        </w:rPr>
        <w:t xml:space="preserve"> </w:t>
      </w:r>
      <w:r w:rsidRPr="00CD459A">
        <w:rPr>
          <w:rFonts w:ascii="Verdana" w:hAnsi="Verdana" w:cs="Arial"/>
        </w:rPr>
        <w:t>la</w:t>
      </w:r>
      <w:r w:rsidRPr="00CD459A">
        <w:rPr>
          <w:rFonts w:ascii="Verdana" w:hAnsi="Verdana" w:cs="Arial"/>
          <w:spacing w:val="-3"/>
        </w:rPr>
        <w:t xml:space="preserve"> </w:t>
      </w:r>
      <w:r w:rsidRPr="00CD459A">
        <w:rPr>
          <w:rFonts w:ascii="Verdana" w:hAnsi="Verdana" w:cs="Arial"/>
        </w:rPr>
        <w:t>subcuenta</w:t>
      </w:r>
      <w:r w:rsidRPr="00CD459A">
        <w:rPr>
          <w:rFonts w:ascii="Verdana" w:hAnsi="Verdana" w:cs="Arial"/>
          <w:spacing w:val="1"/>
        </w:rPr>
        <w:t xml:space="preserve"> </w:t>
      </w:r>
      <w:r w:rsidRPr="00CD459A">
        <w:rPr>
          <w:rFonts w:ascii="Verdana" w:hAnsi="Verdana" w:cs="Arial"/>
        </w:rPr>
        <w:t>580350</w:t>
      </w:r>
      <w:r w:rsidRPr="00CD459A">
        <w:rPr>
          <w:rFonts w:ascii="Verdana" w:hAnsi="Verdana" w:cs="Arial"/>
          <w:spacing w:val="-3"/>
        </w:rPr>
        <w:t xml:space="preserve"> </w:t>
      </w:r>
      <w:r w:rsidRPr="00CD459A">
        <w:rPr>
          <w:rFonts w:ascii="Verdana" w:hAnsi="Verdana" w:cs="Arial"/>
        </w:rPr>
        <w:t>–</w:t>
      </w:r>
      <w:r w:rsidRPr="00CD459A">
        <w:rPr>
          <w:rFonts w:ascii="Verdana" w:hAnsi="Verdana" w:cs="Arial"/>
          <w:spacing w:val="3"/>
        </w:rPr>
        <w:t xml:space="preserve"> </w:t>
      </w:r>
      <w:r w:rsidRPr="00CD459A">
        <w:rPr>
          <w:rFonts w:ascii="Verdana" w:hAnsi="Verdana" w:cs="Arial"/>
        </w:rPr>
        <w:t>Fiducia mercantil - Patrimonio autónomo.</w:t>
      </w:r>
    </w:p>
    <w:p w14:paraId="22711BA0" w14:textId="77777777" w:rsidR="007C7EF4" w:rsidRPr="00CD459A" w:rsidRDefault="007C7EF4" w:rsidP="007C7EF4">
      <w:pPr>
        <w:pStyle w:val="Textoindependiente"/>
        <w:rPr>
          <w:rFonts w:ascii="Verdana" w:hAnsi="Verdana" w:cs="Arial"/>
          <w:sz w:val="22"/>
          <w:szCs w:val="22"/>
        </w:rPr>
      </w:pPr>
    </w:p>
    <w:p w14:paraId="683D8E82" w14:textId="77777777" w:rsidR="007C7EF4" w:rsidRPr="00CD459A" w:rsidRDefault="007C7EF4" w:rsidP="007C7EF4">
      <w:pPr>
        <w:pStyle w:val="Textoindependiente"/>
        <w:rPr>
          <w:rFonts w:ascii="Verdana" w:hAnsi="Verdana" w:cs="Arial"/>
          <w:sz w:val="22"/>
          <w:szCs w:val="22"/>
        </w:rPr>
      </w:pPr>
    </w:p>
    <w:tbl>
      <w:tblPr>
        <w:tblW w:w="0" w:type="auto"/>
        <w:tblInd w:w="10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3"/>
        <w:gridCol w:w="1887"/>
        <w:gridCol w:w="5003"/>
      </w:tblGrid>
      <w:tr w:rsidR="00CD459A" w:rsidRPr="00CD459A" w14:paraId="78120FB0" w14:textId="77777777" w:rsidTr="003B74CE">
        <w:trPr>
          <w:trHeight w:val="484"/>
        </w:trPr>
        <w:tc>
          <w:tcPr>
            <w:tcW w:w="1983" w:type="dxa"/>
            <w:shd w:val="clear" w:color="auto" w:fill="auto"/>
          </w:tcPr>
          <w:p w14:paraId="1C90F2B6" w14:textId="77777777" w:rsidR="007C7EF4" w:rsidRPr="00CD459A" w:rsidRDefault="007C7EF4" w:rsidP="003B74CE">
            <w:pPr>
              <w:pStyle w:val="TableParagraph"/>
              <w:spacing w:before="78"/>
              <w:ind w:left="105"/>
              <w:jc w:val="center"/>
              <w:rPr>
                <w:rFonts w:ascii="Verdana" w:hAnsi="Verdana" w:cs="Arial"/>
                <w:b/>
                <w:bCs/>
              </w:rPr>
            </w:pPr>
            <w:r w:rsidRPr="00CD459A">
              <w:rPr>
                <w:rFonts w:ascii="Verdana" w:hAnsi="Verdana" w:cs="Arial"/>
                <w:b/>
                <w:bCs/>
              </w:rPr>
              <w:t>CLASE</w:t>
            </w:r>
          </w:p>
        </w:tc>
        <w:tc>
          <w:tcPr>
            <w:tcW w:w="1887" w:type="dxa"/>
            <w:shd w:val="clear" w:color="auto" w:fill="auto"/>
          </w:tcPr>
          <w:p w14:paraId="7FBBEFA7" w14:textId="77777777" w:rsidR="007C7EF4" w:rsidRPr="00CD459A" w:rsidRDefault="007C7EF4" w:rsidP="003B74CE">
            <w:pPr>
              <w:pStyle w:val="TableParagraph"/>
              <w:spacing w:before="78"/>
              <w:ind w:left="110"/>
              <w:jc w:val="center"/>
              <w:rPr>
                <w:rFonts w:ascii="Verdana" w:hAnsi="Verdana" w:cs="Arial"/>
                <w:b/>
                <w:bCs/>
              </w:rPr>
            </w:pPr>
            <w:r w:rsidRPr="00CD459A">
              <w:rPr>
                <w:rFonts w:ascii="Verdana" w:hAnsi="Verdana" w:cs="Arial"/>
                <w:b/>
                <w:bCs/>
              </w:rPr>
              <w:t>GRUPO</w:t>
            </w:r>
          </w:p>
        </w:tc>
        <w:tc>
          <w:tcPr>
            <w:tcW w:w="5003" w:type="dxa"/>
            <w:shd w:val="clear" w:color="auto" w:fill="auto"/>
          </w:tcPr>
          <w:p w14:paraId="67E5DB11" w14:textId="77777777" w:rsidR="007C7EF4" w:rsidRPr="00CD459A" w:rsidRDefault="007C7EF4" w:rsidP="003B74CE">
            <w:pPr>
              <w:pStyle w:val="TableParagraph"/>
              <w:spacing w:before="78"/>
              <w:ind w:left="106"/>
              <w:jc w:val="center"/>
              <w:rPr>
                <w:rFonts w:ascii="Verdana" w:hAnsi="Verdana" w:cs="Arial"/>
                <w:b/>
                <w:bCs/>
              </w:rPr>
            </w:pPr>
            <w:r w:rsidRPr="00CD459A">
              <w:rPr>
                <w:rFonts w:ascii="Verdana" w:hAnsi="Verdana" w:cs="Arial"/>
                <w:b/>
                <w:bCs/>
              </w:rPr>
              <w:t>CUENTA</w:t>
            </w:r>
          </w:p>
        </w:tc>
      </w:tr>
      <w:tr w:rsidR="00CD459A" w:rsidRPr="00CD459A" w14:paraId="774A461B" w14:textId="77777777" w:rsidTr="003B74CE">
        <w:trPr>
          <w:trHeight w:val="322"/>
        </w:trPr>
        <w:tc>
          <w:tcPr>
            <w:tcW w:w="1983" w:type="dxa"/>
            <w:shd w:val="clear" w:color="auto" w:fill="auto"/>
          </w:tcPr>
          <w:p w14:paraId="67F0BE15" w14:textId="77777777" w:rsidR="007C7EF4" w:rsidRPr="00CD459A" w:rsidRDefault="007C7EF4" w:rsidP="003B74CE">
            <w:pPr>
              <w:pStyle w:val="TableParagraph"/>
              <w:spacing w:before="83"/>
              <w:ind w:left="105"/>
              <w:jc w:val="both"/>
              <w:rPr>
                <w:rFonts w:ascii="Verdana" w:hAnsi="Verdana" w:cs="Arial"/>
              </w:rPr>
            </w:pPr>
            <w:r w:rsidRPr="00CD459A">
              <w:rPr>
                <w:rFonts w:ascii="Verdana" w:hAnsi="Verdana" w:cs="Arial"/>
              </w:rPr>
              <w:t>1</w:t>
            </w:r>
          </w:p>
        </w:tc>
        <w:tc>
          <w:tcPr>
            <w:tcW w:w="1887" w:type="dxa"/>
            <w:shd w:val="clear" w:color="auto" w:fill="auto"/>
          </w:tcPr>
          <w:p w14:paraId="19B9223E" w14:textId="77777777" w:rsidR="007C7EF4" w:rsidRPr="00CD459A" w:rsidRDefault="007C7EF4" w:rsidP="003B74CE">
            <w:pPr>
              <w:pStyle w:val="TableParagraph"/>
              <w:spacing w:before="83"/>
              <w:ind w:left="110"/>
              <w:jc w:val="both"/>
              <w:rPr>
                <w:rFonts w:ascii="Verdana" w:hAnsi="Verdana" w:cs="Arial"/>
              </w:rPr>
            </w:pPr>
            <w:r w:rsidRPr="00CD459A">
              <w:rPr>
                <w:rFonts w:ascii="Verdana" w:hAnsi="Verdana" w:cs="Arial"/>
              </w:rPr>
              <w:t>19</w:t>
            </w:r>
          </w:p>
        </w:tc>
        <w:tc>
          <w:tcPr>
            <w:tcW w:w="5003" w:type="dxa"/>
            <w:shd w:val="clear" w:color="auto" w:fill="auto"/>
          </w:tcPr>
          <w:p w14:paraId="6E636C9A" w14:textId="77777777" w:rsidR="007C7EF4" w:rsidRPr="00CD459A" w:rsidRDefault="007C7EF4" w:rsidP="003B74CE">
            <w:pPr>
              <w:pStyle w:val="TableParagraph"/>
              <w:spacing w:before="83"/>
              <w:ind w:left="106"/>
              <w:jc w:val="both"/>
              <w:rPr>
                <w:rFonts w:ascii="Verdana" w:hAnsi="Verdana" w:cs="Arial"/>
              </w:rPr>
            </w:pPr>
            <w:r w:rsidRPr="00CD459A">
              <w:rPr>
                <w:rFonts w:ascii="Verdana" w:hAnsi="Verdana" w:cs="Arial"/>
              </w:rPr>
              <w:t>198604</w:t>
            </w:r>
          </w:p>
        </w:tc>
      </w:tr>
      <w:tr w:rsidR="00CD459A" w:rsidRPr="00CD459A" w14:paraId="0B63E63E" w14:textId="77777777" w:rsidTr="003B74CE">
        <w:trPr>
          <w:trHeight w:val="670"/>
        </w:trPr>
        <w:tc>
          <w:tcPr>
            <w:tcW w:w="1983" w:type="dxa"/>
            <w:shd w:val="clear" w:color="auto" w:fill="auto"/>
          </w:tcPr>
          <w:p w14:paraId="777064E1" w14:textId="77777777" w:rsidR="007C7EF4" w:rsidRPr="00CD459A" w:rsidRDefault="007C7EF4" w:rsidP="003B74CE">
            <w:pPr>
              <w:pStyle w:val="TableParagraph"/>
              <w:spacing w:before="78"/>
              <w:ind w:left="105"/>
              <w:jc w:val="both"/>
              <w:rPr>
                <w:rFonts w:ascii="Verdana" w:hAnsi="Verdana" w:cs="Arial"/>
              </w:rPr>
            </w:pPr>
            <w:r w:rsidRPr="00CD459A">
              <w:rPr>
                <w:rFonts w:ascii="Verdana" w:hAnsi="Verdana" w:cs="Arial"/>
              </w:rPr>
              <w:t>ACTIVOS</w:t>
            </w:r>
          </w:p>
        </w:tc>
        <w:tc>
          <w:tcPr>
            <w:tcW w:w="1887" w:type="dxa"/>
            <w:shd w:val="clear" w:color="auto" w:fill="auto"/>
          </w:tcPr>
          <w:p w14:paraId="2DDAFB4F" w14:textId="77777777" w:rsidR="007C7EF4" w:rsidRPr="00CD459A" w:rsidRDefault="007C7EF4" w:rsidP="003B74CE">
            <w:pPr>
              <w:pStyle w:val="TableParagraph"/>
              <w:spacing w:before="78"/>
              <w:ind w:left="110"/>
              <w:jc w:val="both"/>
              <w:rPr>
                <w:rFonts w:ascii="Verdana" w:hAnsi="Verdana" w:cs="Arial"/>
              </w:rPr>
            </w:pPr>
            <w:r w:rsidRPr="00CD459A">
              <w:rPr>
                <w:rFonts w:ascii="Verdana" w:hAnsi="Verdana" w:cs="Arial"/>
              </w:rPr>
              <w:t>OTROS</w:t>
            </w:r>
            <w:r w:rsidRPr="00CD459A">
              <w:rPr>
                <w:rFonts w:ascii="Verdana" w:hAnsi="Verdana" w:cs="Arial"/>
                <w:spacing w:val="-10"/>
              </w:rPr>
              <w:t xml:space="preserve"> </w:t>
            </w:r>
            <w:r w:rsidRPr="00CD459A">
              <w:rPr>
                <w:rFonts w:ascii="Verdana" w:hAnsi="Verdana" w:cs="Arial"/>
              </w:rPr>
              <w:t>ACTIVOS</w:t>
            </w:r>
          </w:p>
        </w:tc>
        <w:tc>
          <w:tcPr>
            <w:tcW w:w="5003" w:type="dxa"/>
            <w:shd w:val="clear" w:color="auto" w:fill="auto"/>
          </w:tcPr>
          <w:p w14:paraId="44E7CB02" w14:textId="77777777" w:rsidR="007C7EF4" w:rsidRPr="00CD459A" w:rsidRDefault="007C7EF4" w:rsidP="003B74CE">
            <w:pPr>
              <w:pStyle w:val="TableParagraph"/>
              <w:spacing w:before="78"/>
              <w:ind w:left="106" w:right="776"/>
              <w:jc w:val="both"/>
              <w:rPr>
                <w:rFonts w:ascii="Verdana" w:hAnsi="Verdana" w:cs="Arial"/>
              </w:rPr>
            </w:pPr>
            <w:r w:rsidRPr="00CD459A">
              <w:rPr>
                <w:rFonts w:ascii="Verdana" w:hAnsi="Verdana" w:cs="Arial"/>
              </w:rPr>
              <w:t>GASTO DIFERIDO POR TRANSFERENCIAS CONDICIONADAS</w:t>
            </w:r>
          </w:p>
        </w:tc>
      </w:tr>
    </w:tbl>
    <w:p w14:paraId="12849C30" w14:textId="77777777" w:rsidR="007C7EF4" w:rsidRPr="00CD459A" w:rsidRDefault="007C7EF4" w:rsidP="007C7EF4">
      <w:pPr>
        <w:pStyle w:val="Textoindependiente"/>
        <w:rPr>
          <w:rFonts w:ascii="Verdana" w:hAnsi="Verdana" w:cs="Arial"/>
          <w:sz w:val="22"/>
          <w:szCs w:val="22"/>
        </w:rPr>
      </w:pPr>
    </w:p>
    <w:p w14:paraId="046891BE" w14:textId="77777777" w:rsidR="007C7EF4" w:rsidRPr="00CD459A" w:rsidRDefault="007C7EF4" w:rsidP="007C7EF4">
      <w:pPr>
        <w:pStyle w:val="Textoindependiente"/>
        <w:spacing w:before="7"/>
        <w:rPr>
          <w:rFonts w:ascii="Verdana" w:hAnsi="Verdana" w:cs="Arial"/>
          <w:sz w:val="22"/>
          <w:szCs w:val="22"/>
        </w:rPr>
      </w:pPr>
    </w:p>
    <w:p w14:paraId="3AABD142" w14:textId="77777777" w:rsidR="007C7EF4" w:rsidRPr="00CD459A" w:rsidRDefault="007C7EF4" w:rsidP="007C7EF4">
      <w:pPr>
        <w:pStyle w:val="Textoindependiente"/>
        <w:spacing w:before="56"/>
        <w:ind w:left="899"/>
        <w:rPr>
          <w:rFonts w:ascii="Verdana" w:hAnsi="Verdana" w:cs="Arial"/>
          <w:sz w:val="22"/>
          <w:szCs w:val="22"/>
        </w:rPr>
      </w:pPr>
      <w:r w:rsidRPr="00CD459A">
        <w:rPr>
          <w:rFonts w:ascii="Verdana" w:hAnsi="Verdana" w:cs="Arial"/>
          <w:sz w:val="22"/>
          <w:szCs w:val="22"/>
        </w:rPr>
        <w:t>DESCRIPCIÓN</w:t>
      </w:r>
    </w:p>
    <w:p w14:paraId="6C87A365" w14:textId="77777777" w:rsidR="007C7EF4" w:rsidRPr="00CD459A" w:rsidRDefault="007C7EF4" w:rsidP="007C7EF4">
      <w:pPr>
        <w:pStyle w:val="Textoindependiente"/>
        <w:rPr>
          <w:rFonts w:ascii="Verdana" w:hAnsi="Verdana" w:cs="Arial"/>
          <w:sz w:val="22"/>
          <w:szCs w:val="22"/>
        </w:rPr>
      </w:pPr>
    </w:p>
    <w:p w14:paraId="2A945267" w14:textId="77777777" w:rsidR="007C7EF4" w:rsidRPr="00CD459A" w:rsidRDefault="007C7EF4" w:rsidP="007C7EF4">
      <w:pPr>
        <w:pStyle w:val="Textoindependiente"/>
        <w:ind w:left="899" w:right="1281"/>
        <w:rPr>
          <w:rFonts w:ascii="Verdana" w:hAnsi="Verdana" w:cs="Arial"/>
          <w:sz w:val="22"/>
          <w:szCs w:val="22"/>
        </w:rPr>
      </w:pPr>
      <w:r w:rsidRPr="00CD459A">
        <w:rPr>
          <w:rFonts w:ascii="Verdana" w:hAnsi="Verdana" w:cs="Arial"/>
          <w:sz w:val="22"/>
          <w:szCs w:val="22"/>
        </w:rPr>
        <w:t>Refleja el valor aprobado en proyectos con recursos distribuidos en bolsas concursables (Ej. Asignación Paz), para los cuales no se ha aperturado proceso de selección y no se ha decretado el gasto con cargo a los recursos asignados, de conformidad con el numeral 2.2.2 del artículo 5 de la resolución 191 de 2020 expedida por la Contaduría General de la Nación.</w:t>
      </w:r>
    </w:p>
    <w:p w14:paraId="172A04E0" w14:textId="77777777" w:rsidR="007C7EF4" w:rsidRPr="00CD459A" w:rsidRDefault="007C7EF4" w:rsidP="007C7EF4">
      <w:pPr>
        <w:pStyle w:val="Textoindependiente"/>
        <w:spacing w:before="2"/>
        <w:rPr>
          <w:rFonts w:ascii="Verdana" w:hAnsi="Verdana" w:cs="Arial"/>
          <w:sz w:val="22"/>
          <w:szCs w:val="22"/>
        </w:rPr>
      </w:pPr>
    </w:p>
    <w:p w14:paraId="4209B57B"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MEDICIÓN</w:t>
      </w:r>
      <w:r w:rsidRPr="00CD459A">
        <w:rPr>
          <w:rFonts w:ascii="Verdana" w:hAnsi="Verdana" w:cs="Arial"/>
          <w:spacing w:val="-3"/>
          <w:sz w:val="22"/>
          <w:szCs w:val="22"/>
        </w:rPr>
        <w:t xml:space="preserve"> </w:t>
      </w:r>
      <w:r w:rsidRPr="00CD459A">
        <w:rPr>
          <w:rFonts w:ascii="Verdana" w:hAnsi="Verdana" w:cs="Arial"/>
          <w:sz w:val="22"/>
          <w:szCs w:val="22"/>
        </w:rPr>
        <w:t>INICIAL</w:t>
      </w:r>
    </w:p>
    <w:p w14:paraId="0983FAB1" w14:textId="77777777" w:rsidR="007C7EF4" w:rsidRPr="00CD459A" w:rsidRDefault="007C7EF4" w:rsidP="007C7EF4">
      <w:pPr>
        <w:pStyle w:val="Textoindependiente"/>
        <w:rPr>
          <w:rFonts w:ascii="Verdana" w:hAnsi="Verdana" w:cs="Arial"/>
          <w:sz w:val="22"/>
          <w:szCs w:val="22"/>
        </w:rPr>
      </w:pPr>
    </w:p>
    <w:p w14:paraId="273504F6" w14:textId="77777777" w:rsidR="007C7EF4" w:rsidRPr="00CD459A" w:rsidRDefault="007C7EF4" w:rsidP="007C7EF4">
      <w:pPr>
        <w:pStyle w:val="Textoindependiente"/>
        <w:spacing w:before="1"/>
        <w:ind w:left="899" w:right="1285"/>
        <w:rPr>
          <w:rFonts w:ascii="Verdana" w:hAnsi="Verdana" w:cs="Arial"/>
          <w:sz w:val="22"/>
          <w:szCs w:val="22"/>
        </w:rPr>
      </w:pPr>
      <w:r w:rsidRPr="00CD459A">
        <w:rPr>
          <w:rFonts w:ascii="Verdana" w:hAnsi="Verdana" w:cs="Arial"/>
          <w:sz w:val="22"/>
          <w:szCs w:val="22"/>
        </w:rPr>
        <w:t>El reconocimiento está dado por el valor de los proyectos que fueron aprobados con recursos de bolsas concursables, sobre los cuales no se ha aperturado ningún proceso de selección.</w:t>
      </w:r>
    </w:p>
    <w:p w14:paraId="380C0EBC" w14:textId="77777777" w:rsidR="007C7EF4" w:rsidRPr="00CD459A" w:rsidRDefault="007C7EF4" w:rsidP="007C7EF4">
      <w:pPr>
        <w:pStyle w:val="Textoindependiente"/>
        <w:ind w:left="899"/>
        <w:rPr>
          <w:rFonts w:ascii="Verdana" w:hAnsi="Verdana" w:cs="Arial"/>
          <w:sz w:val="22"/>
          <w:szCs w:val="22"/>
        </w:rPr>
      </w:pPr>
    </w:p>
    <w:p w14:paraId="419E1312"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FUENTES</w:t>
      </w:r>
      <w:r w:rsidRPr="00CD459A">
        <w:rPr>
          <w:rFonts w:ascii="Verdana" w:hAnsi="Verdana" w:cs="Arial"/>
          <w:spacing w:val="-5"/>
          <w:sz w:val="22"/>
          <w:szCs w:val="22"/>
        </w:rPr>
        <w:t xml:space="preserve"> </w:t>
      </w:r>
      <w:r w:rsidRPr="00CD459A">
        <w:rPr>
          <w:rFonts w:ascii="Verdana" w:hAnsi="Verdana" w:cs="Arial"/>
          <w:sz w:val="22"/>
          <w:szCs w:val="22"/>
        </w:rPr>
        <w:t>DE</w:t>
      </w:r>
      <w:r w:rsidRPr="00CD459A">
        <w:rPr>
          <w:rFonts w:ascii="Verdana" w:hAnsi="Verdana" w:cs="Arial"/>
          <w:spacing w:val="-6"/>
          <w:sz w:val="22"/>
          <w:szCs w:val="22"/>
        </w:rPr>
        <w:t xml:space="preserve"> </w:t>
      </w:r>
      <w:r w:rsidRPr="00CD459A">
        <w:rPr>
          <w:rFonts w:ascii="Verdana" w:hAnsi="Verdana" w:cs="Arial"/>
          <w:sz w:val="22"/>
          <w:szCs w:val="22"/>
        </w:rPr>
        <w:t>INFORMACIÓN</w:t>
      </w:r>
    </w:p>
    <w:p w14:paraId="684E6C08" w14:textId="77777777" w:rsidR="007C7EF4" w:rsidRPr="00CD459A" w:rsidRDefault="007C7EF4" w:rsidP="007C7EF4">
      <w:pPr>
        <w:pStyle w:val="Textoindependiente"/>
        <w:spacing w:before="1"/>
        <w:rPr>
          <w:rFonts w:ascii="Verdana" w:hAnsi="Verdana" w:cs="Arial"/>
          <w:sz w:val="22"/>
          <w:szCs w:val="22"/>
        </w:rPr>
      </w:pPr>
    </w:p>
    <w:p w14:paraId="23936E96" w14:textId="77777777" w:rsidR="007C7EF4" w:rsidRPr="00CD459A" w:rsidRDefault="007C7EF4" w:rsidP="007C7EF4">
      <w:pPr>
        <w:pStyle w:val="Textoindependiente"/>
        <w:ind w:left="899" w:right="1284"/>
        <w:rPr>
          <w:rFonts w:ascii="Verdana" w:hAnsi="Verdana" w:cs="Arial"/>
          <w:sz w:val="22"/>
          <w:szCs w:val="22"/>
        </w:rPr>
      </w:pPr>
      <w:r w:rsidRPr="00CD459A">
        <w:rPr>
          <w:rFonts w:ascii="Verdana" w:hAnsi="Verdana" w:cs="Arial"/>
          <w:sz w:val="22"/>
          <w:szCs w:val="22"/>
        </w:rPr>
        <w:t>Relación de proyectos aprobados con recursos de bolsas concursables que no tienen proceso de selección abierto.</w:t>
      </w:r>
    </w:p>
    <w:p w14:paraId="6A0637BF" w14:textId="77777777" w:rsidR="007C7EF4" w:rsidRPr="00CD459A" w:rsidRDefault="007C7EF4" w:rsidP="007C7EF4">
      <w:pPr>
        <w:pStyle w:val="Textoindependiente"/>
        <w:spacing w:before="1"/>
        <w:rPr>
          <w:rFonts w:ascii="Verdana" w:hAnsi="Verdana" w:cs="Arial"/>
          <w:sz w:val="22"/>
          <w:szCs w:val="22"/>
        </w:rPr>
      </w:pPr>
    </w:p>
    <w:p w14:paraId="0B9590A1" w14:textId="77777777" w:rsidR="007C7EF4" w:rsidRPr="00CD459A" w:rsidRDefault="007C7EF4" w:rsidP="007C7EF4">
      <w:pPr>
        <w:pStyle w:val="Textoindependiente"/>
        <w:ind w:left="899"/>
        <w:rPr>
          <w:rFonts w:ascii="Verdana" w:hAnsi="Verdana" w:cs="Arial"/>
          <w:sz w:val="22"/>
          <w:szCs w:val="22"/>
        </w:rPr>
      </w:pPr>
      <w:r w:rsidRPr="00CD459A">
        <w:rPr>
          <w:rFonts w:ascii="Verdana" w:hAnsi="Verdana" w:cs="Arial"/>
          <w:sz w:val="22"/>
          <w:szCs w:val="22"/>
        </w:rPr>
        <w:t>CONCILIACIÓN</w:t>
      </w:r>
    </w:p>
    <w:p w14:paraId="03DA15BB" w14:textId="77777777" w:rsidR="007C7EF4" w:rsidRPr="00CD459A" w:rsidRDefault="007C7EF4" w:rsidP="007C7EF4">
      <w:pPr>
        <w:pStyle w:val="Textoindependiente"/>
        <w:rPr>
          <w:rFonts w:ascii="Verdana" w:hAnsi="Verdana" w:cs="Arial"/>
          <w:sz w:val="22"/>
          <w:szCs w:val="22"/>
        </w:rPr>
      </w:pPr>
    </w:p>
    <w:p w14:paraId="608064F9" w14:textId="77777777" w:rsidR="007C7EF4" w:rsidRPr="00CD459A" w:rsidRDefault="007C7EF4" w:rsidP="007C7EF4">
      <w:pPr>
        <w:pStyle w:val="Textoindependiente"/>
        <w:spacing w:before="1"/>
        <w:ind w:left="899" w:right="1277"/>
        <w:rPr>
          <w:rFonts w:ascii="Verdana" w:hAnsi="Verdana" w:cs="Arial"/>
          <w:sz w:val="22"/>
          <w:szCs w:val="22"/>
        </w:rPr>
      </w:pPr>
      <w:r w:rsidRPr="00CD459A">
        <w:rPr>
          <w:rFonts w:ascii="Verdana" w:hAnsi="Verdana" w:cs="Arial"/>
          <w:sz w:val="22"/>
          <w:szCs w:val="22"/>
        </w:rPr>
        <w:t>Se</w:t>
      </w:r>
      <w:r w:rsidRPr="00CD459A">
        <w:rPr>
          <w:rFonts w:ascii="Verdana" w:hAnsi="Verdana" w:cs="Arial"/>
          <w:spacing w:val="-8"/>
          <w:sz w:val="22"/>
          <w:szCs w:val="22"/>
        </w:rPr>
        <w:t xml:space="preserve"> </w:t>
      </w:r>
      <w:r w:rsidRPr="00CD459A">
        <w:rPr>
          <w:rFonts w:ascii="Verdana" w:hAnsi="Verdana" w:cs="Arial"/>
          <w:sz w:val="22"/>
          <w:szCs w:val="22"/>
        </w:rPr>
        <w:t>compara</w:t>
      </w:r>
      <w:r w:rsidRPr="00CD459A">
        <w:rPr>
          <w:rFonts w:ascii="Verdana" w:hAnsi="Verdana" w:cs="Arial"/>
          <w:spacing w:val="-9"/>
          <w:sz w:val="22"/>
          <w:szCs w:val="22"/>
        </w:rPr>
        <w:t xml:space="preserve"> el saldo de la cuenta contable con la sumatoria del valor de los proyectos aprobados con cargo a recursos de bolsas concursables que no tienen proceso de selección abiertos, </w:t>
      </w:r>
      <w:r w:rsidRPr="00CD459A">
        <w:rPr>
          <w:rFonts w:ascii="Verdana" w:hAnsi="Verdana" w:cs="Arial"/>
          <w:sz w:val="22"/>
          <w:szCs w:val="22"/>
        </w:rPr>
        <w:t>con corte al último día de cada</w:t>
      </w:r>
      <w:r w:rsidRPr="00CD459A">
        <w:rPr>
          <w:rFonts w:ascii="Verdana" w:hAnsi="Verdana" w:cs="Arial"/>
          <w:spacing w:val="-1"/>
          <w:sz w:val="22"/>
          <w:szCs w:val="22"/>
        </w:rPr>
        <w:t xml:space="preserve"> </w:t>
      </w:r>
      <w:r w:rsidRPr="00CD459A">
        <w:rPr>
          <w:rFonts w:ascii="Verdana" w:hAnsi="Verdana" w:cs="Arial"/>
          <w:sz w:val="22"/>
          <w:szCs w:val="22"/>
        </w:rPr>
        <w:t>periodo.</w:t>
      </w:r>
    </w:p>
    <w:p w14:paraId="38AE8D95" w14:textId="77777777" w:rsidR="007C7EF4" w:rsidRPr="00CD459A" w:rsidRDefault="007C7EF4" w:rsidP="007C7EF4">
      <w:pPr>
        <w:pStyle w:val="Textoindependiente"/>
        <w:spacing w:before="1"/>
        <w:ind w:left="899"/>
        <w:rPr>
          <w:rFonts w:ascii="Verdana" w:hAnsi="Verdana" w:cs="Arial"/>
          <w:sz w:val="22"/>
          <w:szCs w:val="22"/>
        </w:rPr>
      </w:pPr>
    </w:p>
    <w:p w14:paraId="1B7A60E7" w14:textId="77777777" w:rsidR="007C7EF4" w:rsidRPr="00CD459A" w:rsidRDefault="007C7EF4" w:rsidP="007C7EF4">
      <w:pPr>
        <w:pStyle w:val="Textoindependiente"/>
        <w:spacing w:before="1"/>
        <w:ind w:left="899"/>
        <w:rPr>
          <w:rFonts w:ascii="Verdana" w:hAnsi="Verdana" w:cs="Arial"/>
          <w:sz w:val="22"/>
          <w:szCs w:val="22"/>
        </w:rPr>
      </w:pPr>
      <w:r w:rsidRPr="00CD459A">
        <w:rPr>
          <w:rFonts w:ascii="Verdana" w:hAnsi="Verdana" w:cs="Arial"/>
          <w:sz w:val="22"/>
          <w:szCs w:val="22"/>
        </w:rPr>
        <w:t>REVELACIONES</w:t>
      </w:r>
    </w:p>
    <w:p w14:paraId="40E4343E" w14:textId="77777777" w:rsidR="007C7EF4" w:rsidRPr="00CD459A" w:rsidRDefault="007C7EF4" w:rsidP="007C7EF4">
      <w:pPr>
        <w:pStyle w:val="Textoindependiente"/>
        <w:rPr>
          <w:rFonts w:ascii="Verdana" w:hAnsi="Verdana" w:cs="Arial"/>
          <w:sz w:val="22"/>
          <w:szCs w:val="22"/>
        </w:rPr>
      </w:pPr>
    </w:p>
    <w:p w14:paraId="0DB4FC74" w14:textId="77777777" w:rsidR="007C7EF4" w:rsidRDefault="007C7EF4" w:rsidP="007C7EF4">
      <w:pPr>
        <w:pStyle w:val="Textoindependiente"/>
        <w:spacing w:before="56"/>
        <w:ind w:right="1278"/>
        <w:rPr>
          <w:rFonts w:ascii="Verdana" w:hAnsi="Verdana" w:cs="Arial"/>
          <w:sz w:val="22"/>
          <w:szCs w:val="22"/>
        </w:rPr>
      </w:pPr>
      <w:r w:rsidRPr="00CD459A">
        <w:rPr>
          <w:rFonts w:ascii="Verdana" w:hAnsi="Verdana" w:cs="Arial"/>
          <w:sz w:val="22"/>
          <w:szCs w:val="22"/>
        </w:rPr>
        <w:t>Del gasto diferido por transferencias condicionadas se revelará el valor por tercero beneficiario de los proyectos que fueron aprobados con recursos de bolsas concursables que no tienen proceso de selección abierto.</w:t>
      </w:r>
    </w:p>
    <w:p w14:paraId="3FA80F20" w14:textId="77777777" w:rsidR="00355F8E" w:rsidRPr="00CD459A" w:rsidRDefault="00355F8E" w:rsidP="007C7EF4">
      <w:pPr>
        <w:pStyle w:val="Textoindependiente"/>
        <w:spacing w:before="56"/>
        <w:ind w:right="1278"/>
        <w:rPr>
          <w:rFonts w:ascii="Verdana" w:hAnsi="Verdana" w:cs="Arial"/>
          <w:sz w:val="22"/>
          <w:szCs w:val="22"/>
        </w:rPr>
      </w:pPr>
    </w:p>
    <w:p w14:paraId="73459E04" w14:textId="77777777" w:rsidR="007C7EF4" w:rsidRPr="00CD459A" w:rsidRDefault="007C7EF4" w:rsidP="007C7EF4">
      <w:pPr>
        <w:pStyle w:val="Textoindependiente"/>
        <w:spacing w:before="1"/>
        <w:rPr>
          <w:rFonts w:ascii="Verdana" w:hAnsi="Verdana" w:cs="Arial"/>
          <w:sz w:val="22"/>
          <w:szCs w:val="22"/>
        </w:rPr>
      </w:pPr>
    </w:p>
    <w:p w14:paraId="50CC0247" w14:textId="77777777" w:rsidR="007C7EF4" w:rsidRDefault="007C7EF4" w:rsidP="007C7EF4">
      <w:pPr>
        <w:pStyle w:val="Textoindependiente"/>
        <w:rPr>
          <w:rFonts w:ascii="Verdana" w:hAnsi="Verdana" w:cs="Arial"/>
          <w:sz w:val="22"/>
          <w:szCs w:val="22"/>
        </w:rPr>
      </w:pPr>
      <w:r w:rsidRPr="00CD459A">
        <w:rPr>
          <w:rFonts w:ascii="Verdana" w:hAnsi="Verdana" w:cs="Arial"/>
          <w:sz w:val="22"/>
          <w:szCs w:val="22"/>
        </w:rPr>
        <w:t>DINÁMICA</w:t>
      </w:r>
    </w:p>
    <w:p w14:paraId="4C4BF314" w14:textId="77777777" w:rsidR="00355F8E" w:rsidRPr="00CD459A" w:rsidRDefault="00355F8E" w:rsidP="007C7EF4">
      <w:pPr>
        <w:pStyle w:val="Textoindependiente"/>
        <w:rPr>
          <w:rFonts w:ascii="Verdana" w:hAnsi="Verdana" w:cs="Arial"/>
          <w:sz w:val="22"/>
          <w:szCs w:val="22"/>
        </w:rPr>
      </w:pPr>
    </w:p>
    <w:p w14:paraId="3D803D54" w14:textId="77777777" w:rsidR="007C7EF4" w:rsidRPr="00CD459A" w:rsidRDefault="007C7EF4" w:rsidP="007C7EF4">
      <w:pPr>
        <w:pStyle w:val="Textoindependiente"/>
        <w:rPr>
          <w:rFonts w:ascii="Verdana" w:hAnsi="Verdana" w:cs="Arial"/>
          <w:sz w:val="22"/>
          <w:szCs w:val="22"/>
        </w:rPr>
      </w:pPr>
    </w:p>
    <w:p w14:paraId="7BBD89B1" w14:textId="77777777" w:rsidR="007C7EF4" w:rsidRPr="00CD459A" w:rsidRDefault="007C7EF4" w:rsidP="007C7EF4">
      <w:pPr>
        <w:pStyle w:val="Textoindependiente"/>
        <w:rPr>
          <w:rFonts w:ascii="Verdana" w:hAnsi="Verdana" w:cs="Arial"/>
          <w:sz w:val="22"/>
          <w:szCs w:val="22"/>
        </w:rPr>
      </w:pPr>
      <w:r w:rsidRPr="00CD459A">
        <w:rPr>
          <w:rFonts w:ascii="Verdana" w:hAnsi="Verdana" w:cs="Arial"/>
          <w:sz w:val="22"/>
          <w:szCs w:val="22"/>
        </w:rPr>
        <w:t>SE</w:t>
      </w:r>
      <w:r w:rsidRPr="00CD459A">
        <w:rPr>
          <w:rFonts w:ascii="Verdana" w:hAnsi="Verdana" w:cs="Arial"/>
          <w:spacing w:val="-7"/>
          <w:sz w:val="22"/>
          <w:szCs w:val="22"/>
        </w:rPr>
        <w:t xml:space="preserve"> </w:t>
      </w:r>
      <w:r w:rsidRPr="00CD459A">
        <w:rPr>
          <w:rFonts w:ascii="Verdana" w:hAnsi="Verdana" w:cs="Arial"/>
          <w:sz w:val="22"/>
          <w:szCs w:val="22"/>
        </w:rPr>
        <w:t>DEBITA</w:t>
      </w:r>
      <w:r w:rsidRPr="00CD459A">
        <w:rPr>
          <w:rFonts w:ascii="Verdana" w:hAnsi="Verdana" w:cs="Arial"/>
          <w:spacing w:val="-2"/>
          <w:sz w:val="22"/>
          <w:szCs w:val="22"/>
        </w:rPr>
        <w:t xml:space="preserve"> </w:t>
      </w:r>
      <w:r w:rsidRPr="00CD459A">
        <w:rPr>
          <w:rFonts w:ascii="Verdana" w:hAnsi="Verdana" w:cs="Arial"/>
          <w:sz w:val="22"/>
          <w:szCs w:val="22"/>
        </w:rPr>
        <w:t>CON:</w:t>
      </w:r>
    </w:p>
    <w:p w14:paraId="315844C3" w14:textId="77777777" w:rsidR="007C7EF4" w:rsidRPr="00CD459A" w:rsidRDefault="007C7EF4" w:rsidP="007C7EF4">
      <w:pPr>
        <w:pStyle w:val="Textoindependiente"/>
        <w:spacing w:before="1"/>
        <w:rPr>
          <w:rFonts w:ascii="Verdana" w:hAnsi="Verdana" w:cs="Arial"/>
          <w:sz w:val="22"/>
          <w:szCs w:val="22"/>
        </w:rPr>
      </w:pPr>
    </w:p>
    <w:p w14:paraId="2252B140"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w:t>
      </w:r>
      <w:r w:rsidRPr="00CD459A">
        <w:rPr>
          <w:rFonts w:ascii="Verdana" w:hAnsi="Verdana" w:cs="Arial"/>
          <w:spacing w:val="-2"/>
        </w:rPr>
        <w:t xml:space="preserve"> </w:t>
      </w:r>
      <w:r w:rsidRPr="00CD459A">
        <w:rPr>
          <w:rFonts w:ascii="Verdana" w:hAnsi="Verdana" w:cs="Arial"/>
        </w:rPr>
        <w:t>valor</w:t>
      </w:r>
      <w:r w:rsidRPr="00CD459A">
        <w:rPr>
          <w:rFonts w:ascii="Verdana" w:hAnsi="Verdana" w:cs="Arial"/>
          <w:spacing w:val="-4"/>
        </w:rPr>
        <w:t xml:space="preserve"> </w:t>
      </w:r>
      <w:r w:rsidRPr="00CD459A">
        <w:rPr>
          <w:rFonts w:ascii="Verdana" w:hAnsi="Verdana" w:cs="Arial"/>
        </w:rPr>
        <w:t>de cada proyecto aprobado con recursos de bolsas concursables,</w:t>
      </w:r>
      <w:r w:rsidRPr="00CD459A">
        <w:rPr>
          <w:rFonts w:ascii="Verdana" w:hAnsi="Verdana" w:cs="Arial"/>
          <w:spacing w:val="-7"/>
        </w:rPr>
        <w:t xml:space="preserve"> </w:t>
      </w:r>
      <w:r w:rsidRPr="00CD459A">
        <w:rPr>
          <w:rFonts w:ascii="Verdana" w:hAnsi="Verdana" w:cs="Arial"/>
        </w:rPr>
        <w:t>con crédito</w:t>
      </w:r>
      <w:r w:rsidRPr="00CD459A">
        <w:rPr>
          <w:rFonts w:ascii="Verdana" w:hAnsi="Verdana" w:cs="Arial"/>
          <w:spacing w:val="-4"/>
        </w:rPr>
        <w:t xml:space="preserve"> </w:t>
      </w:r>
      <w:r w:rsidRPr="00CD459A">
        <w:rPr>
          <w:rFonts w:ascii="Verdana" w:hAnsi="Verdana" w:cs="Arial"/>
        </w:rPr>
        <w:t>a</w:t>
      </w:r>
      <w:r w:rsidRPr="00CD459A">
        <w:rPr>
          <w:rFonts w:ascii="Verdana" w:hAnsi="Verdana" w:cs="Arial"/>
          <w:spacing w:val="-4"/>
        </w:rPr>
        <w:t xml:space="preserve"> </w:t>
      </w:r>
      <w:r w:rsidRPr="00CD459A">
        <w:rPr>
          <w:rFonts w:ascii="Verdana" w:hAnsi="Verdana" w:cs="Arial"/>
        </w:rPr>
        <w:t>la</w:t>
      </w:r>
      <w:r w:rsidRPr="00CD459A">
        <w:rPr>
          <w:rFonts w:ascii="Verdana" w:hAnsi="Verdana" w:cs="Arial"/>
          <w:spacing w:val="-4"/>
        </w:rPr>
        <w:t xml:space="preserve"> </w:t>
      </w:r>
      <w:r w:rsidRPr="00CD459A">
        <w:rPr>
          <w:rFonts w:ascii="Verdana" w:hAnsi="Verdana" w:cs="Arial"/>
        </w:rPr>
        <w:t>subcuenta</w:t>
      </w:r>
      <w:r w:rsidRPr="00CD459A">
        <w:rPr>
          <w:rFonts w:ascii="Verdana" w:hAnsi="Verdana" w:cs="Arial"/>
          <w:spacing w:val="-46"/>
        </w:rPr>
        <w:t xml:space="preserve">       </w:t>
      </w:r>
      <w:r w:rsidRPr="00CD459A">
        <w:rPr>
          <w:rFonts w:ascii="Verdana" w:hAnsi="Verdana" w:cs="Arial"/>
        </w:rPr>
        <w:t>240316 –Sistema</w:t>
      </w:r>
      <w:r w:rsidRPr="00CD459A">
        <w:rPr>
          <w:rFonts w:ascii="Verdana" w:hAnsi="Verdana" w:cs="Arial"/>
          <w:spacing w:val="-2"/>
        </w:rPr>
        <w:t xml:space="preserve"> </w:t>
      </w:r>
      <w:r w:rsidRPr="00CD459A">
        <w:rPr>
          <w:rFonts w:ascii="Verdana" w:hAnsi="Verdana" w:cs="Arial"/>
        </w:rPr>
        <w:t>General</w:t>
      </w:r>
      <w:r w:rsidRPr="00CD459A">
        <w:rPr>
          <w:rFonts w:ascii="Verdana" w:hAnsi="Verdana" w:cs="Arial"/>
          <w:spacing w:val="-1"/>
        </w:rPr>
        <w:t xml:space="preserve"> </w:t>
      </w:r>
      <w:r w:rsidRPr="00CD459A">
        <w:rPr>
          <w:rFonts w:ascii="Verdana" w:hAnsi="Verdana" w:cs="Arial"/>
        </w:rPr>
        <w:t>de</w:t>
      </w:r>
      <w:r w:rsidRPr="00CD459A">
        <w:rPr>
          <w:rFonts w:ascii="Verdana" w:hAnsi="Verdana" w:cs="Arial"/>
          <w:spacing w:val="-2"/>
        </w:rPr>
        <w:t xml:space="preserve"> </w:t>
      </w:r>
      <w:r w:rsidRPr="00CD459A">
        <w:rPr>
          <w:rFonts w:ascii="Verdana" w:hAnsi="Verdana" w:cs="Arial"/>
        </w:rPr>
        <w:t>Regalías.</w:t>
      </w:r>
    </w:p>
    <w:p w14:paraId="5966B7DE" w14:textId="77777777" w:rsidR="007C7EF4" w:rsidRPr="00CD459A" w:rsidRDefault="007C7EF4" w:rsidP="007C7EF4">
      <w:pPr>
        <w:pStyle w:val="Prrafodelista"/>
        <w:widowControl w:val="0"/>
        <w:tabs>
          <w:tab w:val="left" w:pos="426"/>
        </w:tabs>
        <w:autoSpaceDE w:val="0"/>
        <w:autoSpaceDN w:val="0"/>
        <w:ind w:right="1279"/>
        <w:jc w:val="both"/>
        <w:rPr>
          <w:rFonts w:ascii="Verdana" w:hAnsi="Verdana" w:cs="Arial"/>
        </w:rPr>
      </w:pPr>
    </w:p>
    <w:p w14:paraId="54A8B4C3" w14:textId="77777777" w:rsidR="007C7EF4" w:rsidRPr="00CD459A" w:rsidRDefault="007C7EF4" w:rsidP="007C7EF4">
      <w:pPr>
        <w:pStyle w:val="Prrafodelista"/>
        <w:widowControl w:val="0"/>
        <w:tabs>
          <w:tab w:val="left" w:pos="426"/>
        </w:tabs>
        <w:autoSpaceDE w:val="0"/>
        <w:autoSpaceDN w:val="0"/>
        <w:ind w:right="1279"/>
        <w:jc w:val="both"/>
        <w:rPr>
          <w:rFonts w:ascii="Verdana" w:hAnsi="Verdana" w:cs="Arial"/>
        </w:rPr>
      </w:pPr>
    </w:p>
    <w:p w14:paraId="672B7301" w14:textId="77777777" w:rsidR="007C7EF4" w:rsidRPr="00CD459A" w:rsidRDefault="007C7EF4" w:rsidP="007C7EF4">
      <w:pPr>
        <w:pStyle w:val="Textoindependiente"/>
        <w:spacing w:before="3"/>
        <w:rPr>
          <w:rFonts w:ascii="Verdana" w:hAnsi="Verdana" w:cs="Arial"/>
          <w:sz w:val="22"/>
          <w:szCs w:val="22"/>
        </w:rPr>
      </w:pPr>
    </w:p>
    <w:p w14:paraId="08E7E939" w14:textId="77777777" w:rsidR="007C7EF4" w:rsidRPr="00CD459A" w:rsidRDefault="007C7EF4" w:rsidP="007C7EF4">
      <w:pPr>
        <w:pStyle w:val="Textoindependiente"/>
        <w:ind w:left="142"/>
        <w:rPr>
          <w:rFonts w:ascii="Verdana" w:hAnsi="Verdana" w:cs="Arial"/>
          <w:sz w:val="22"/>
          <w:szCs w:val="22"/>
        </w:rPr>
      </w:pPr>
      <w:r w:rsidRPr="00CD459A">
        <w:rPr>
          <w:rFonts w:ascii="Verdana" w:hAnsi="Verdana" w:cs="Arial"/>
          <w:sz w:val="22"/>
          <w:szCs w:val="22"/>
        </w:rPr>
        <w:t>SE</w:t>
      </w:r>
      <w:r w:rsidRPr="00CD459A">
        <w:rPr>
          <w:rFonts w:ascii="Verdana" w:hAnsi="Verdana" w:cs="Arial"/>
          <w:spacing w:val="-6"/>
          <w:sz w:val="22"/>
          <w:szCs w:val="22"/>
        </w:rPr>
        <w:t xml:space="preserve"> </w:t>
      </w:r>
      <w:r w:rsidRPr="00CD459A">
        <w:rPr>
          <w:rFonts w:ascii="Verdana" w:hAnsi="Verdana" w:cs="Arial"/>
          <w:sz w:val="22"/>
          <w:szCs w:val="22"/>
        </w:rPr>
        <w:t>ACREDITA</w:t>
      </w:r>
      <w:r w:rsidRPr="00CD459A">
        <w:rPr>
          <w:rFonts w:ascii="Verdana" w:hAnsi="Verdana" w:cs="Arial"/>
          <w:spacing w:val="-1"/>
          <w:sz w:val="22"/>
          <w:szCs w:val="22"/>
        </w:rPr>
        <w:t xml:space="preserve"> </w:t>
      </w:r>
      <w:r w:rsidRPr="00CD459A">
        <w:rPr>
          <w:rFonts w:ascii="Verdana" w:hAnsi="Verdana" w:cs="Arial"/>
          <w:sz w:val="22"/>
          <w:szCs w:val="22"/>
        </w:rPr>
        <w:t>CON:</w:t>
      </w:r>
    </w:p>
    <w:p w14:paraId="43EAECD9" w14:textId="77777777" w:rsidR="007C7EF4" w:rsidRPr="00CD459A" w:rsidRDefault="007C7EF4" w:rsidP="007C7EF4">
      <w:pPr>
        <w:pStyle w:val="Textoindependiente"/>
        <w:rPr>
          <w:rFonts w:ascii="Verdana" w:hAnsi="Verdana" w:cs="Arial"/>
          <w:sz w:val="22"/>
          <w:szCs w:val="22"/>
        </w:rPr>
      </w:pPr>
    </w:p>
    <w:p w14:paraId="268D2311"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 valor de cada proyecto cuando se apertura el primer proceso de selección, con debito a la subcuenta que corresponda de la cuenta 5413 - Sistema General de Regalías.</w:t>
      </w:r>
    </w:p>
    <w:p w14:paraId="0F86FBAD" w14:textId="77777777" w:rsidR="007C7EF4" w:rsidRPr="00CD459A" w:rsidRDefault="007C7EF4" w:rsidP="00AB3D96">
      <w:pPr>
        <w:pStyle w:val="Prrafodelista"/>
        <w:widowControl w:val="0"/>
        <w:numPr>
          <w:ilvl w:val="1"/>
          <w:numId w:val="95"/>
        </w:numPr>
        <w:tabs>
          <w:tab w:val="left" w:pos="426"/>
        </w:tabs>
        <w:autoSpaceDE w:val="0"/>
        <w:autoSpaceDN w:val="0"/>
        <w:spacing w:after="0" w:line="240" w:lineRule="auto"/>
        <w:ind w:left="426" w:right="1279" w:hanging="426"/>
        <w:contextualSpacing w:val="0"/>
        <w:jc w:val="both"/>
        <w:rPr>
          <w:rFonts w:ascii="Verdana" w:hAnsi="Verdana" w:cs="Arial"/>
        </w:rPr>
      </w:pPr>
      <w:r w:rsidRPr="00CD459A">
        <w:rPr>
          <w:rFonts w:ascii="Verdana" w:hAnsi="Verdana" w:cs="Arial"/>
        </w:rPr>
        <w:t>El valor del proyecto cancelado por no expedición del acto de apertura del proceso de selección, con debito a la subcuenta 240316 – Sistema General de regalías.</w:t>
      </w:r>
    </w:p>
    <w:p w14:paraId="4871CDAD" w14:textId="77777777" w:rsidR="007C7EF4" w:rsidRPr="00CD459A" w:rsidRDefault="007C7EF4" w:rsidP="007C7EF4">
      <w:pPr>
        <w:pStyle w:val="Prrafodelista"/>
        <w:suppressLineNumbers/>
        <w:tabs>
          <w:tab w:val="left" w:pos="-720"/>
        </w:tabs>
        <w:ind w:left="1440"/>
        <w:jc w:val="both"/>
        <w:rPr>
          <w:rFonts w:ascii="Verdana" w:hAnsi="Verdana" w:cs="Arial"/>
        </w:rPr>
      </w:pPr>
    </w:p>
    <w:p w14:paraId="50EC37AB"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color w:val="auto"/>
          <w:sz w:val="22"/>
          <w:szCs w:val="22"/>
        </w:rPr>
      </w:pPr>
      <w:bookmarkStart w:id="777" w:name="_Toc62483987"/>
      <w:bookmarkStart w:id="778" w:name="_Toc94710273"/>
      <w:r w:rsidRPr="00CD459A">
        <w:rPr>
          <w:rFonts w:ascii="Verdana" w:hAnsi="Verdana" w:cs="Arial"/>
          <w:color w:val="auto"/>
          <w:sz w:val="22"/>
          <w:szCs w:val="22"/>
        </w:rPr>
        <w:t>PASIVO</w:t>
      </w:r>
      <w:bookmarkEnd w:id="777"/>
      <w:bookmarkEnd w:id="778"/>
    </w:p>
    <w:p w14:paraId="11208273" w14:textId="77777777" w:rsidR="007C7EF4" w:rsidRPr="00CD459A" w:rsidRDefault="007C7EF4" w:rsidP="007C7EF4">
      <w:pPr>
        <w:suppressLineNumbers/>
        <w:tabs>
          <w:tab w:val="left" w:pos="-720"/>
        </w:tabs>
        <w:ind w:left="284" w:hanging="284"/>
        <w:jc w:val="both"/>
        <w:rPr>
          <w:rFonts w:ascii="Verdana" w:hAnsi="Verdana" w:cs="Arial"/>
        </w:rPr>
      </w:pPr>
    </w:p>
    <w:tbl>
      <w:tblPr>
        <w:tblW w:w="0" w:type="auto"/>
        <w:tblInd w:w="177" w:type="dxa"/>
        <w:tblLayout w:type="fixed"/>
        <w:tblCellMar>
          <w:left w:w="0" w:type="dxa"/>
          <w:right w:w="0" w:type="dxa"/>
        </w:tblCellMar>
        <w:tblLook w:val="01E0" w:firstRow="1" w:lastRow="1" w:firstColumn="1" w:lastColumn="1" w:noHBand="0" w:noVBand="0"/>
      </w:tblPr>
      <w:tblGrid>
        <w:gridCol w:w="1985"/>
        <w:gridCol w:w="3404"/>
        <w:gridCol w:w="3485"/>
      </w:tblGrid>
      <w:tr w:rsidR="00CD459A" w:rsidRPr="00CD459A" w14:paraId="7DBA33F3"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27393BC3"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59B67457"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479A18E7" w14:textId="77777777" w:rsidR="007C7EF4" w:rsidRPr="00CD459A" w:rsidRDefault="007C7EF4" w:rsidP="003B74CE">
            <w:pPr>
              <w:pStyle w:val="TableParagraph"/>
              <w:spacing w:before="81"/>
              <w:ind w:right="1372"/>
              <w:jc w:val="center"/>
              <w:rPr>
                <w:rFonts w:ascii="Verdana" w:hAnsi="Verdana" w:cs="Arial"/>
                <w:b/>
                <w:bCs/>
              </w:rPr>
            </w:pPr>
            <w:r w:rsidRPr="00CD459A">
              <w:rPr>
                <w:rFonts w:ascii="Verdana" w:hAnsi="Verdana" w:cs="Arial"/>
                <w:b/>
                <w:bCs/>
              </w:rPr>
              <w:t>CUENTA</w:t>
            </w:r>
          </w:p>
        </w:tc>
      </w:tr>
      <w:tr w:rsidR="00CD459A" w:rsidRPr="00CD459A" w14:paraId="078B2A66"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6B67EFE7"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2</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0D6B7039"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6DBD058F" w14:textId="77777777" w:rsidR="007C7EF4" w:rsidRPr="00CD459A" w:rsidRDefault="007C7EF4" w:rsidP="003B74CE">
            <w:pPr>
              <w:jc w:val="both"/>
              <w:rPr>
                <w:rFonts w:ascii="Verdana" w:hAnsi="Verdana" w:cs="Arial"/>
              </w:rPr>
            </w:pPr>
          </w:p>
        </w:tc>
      </w:tr>
      <w:tr w:rsidR="00CD459A" w:rsidRPr="00CD459A" w14:paraId="4A5B313C" w14:textId="77777777" w:rsidTr="003B74CE">
        <w:trPr>
          <w:trHeight w:hRule="exact" w:val="495"/>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0E650D1" w14:textId="77777777" w:rsidR="007C7EF4" w:rsidRPr="00CD459A" w:rsidRDefault="007C7EF4" w:rsidP="003B74CE">
            <w:pPr>
              <w:pStyle w:val="TableParagraph"/>
              <w:ind w:left="103" w:right="83"/>
              <w:jc w:val="both"/>
              <w:rPr>
                <w:rFonts w:ascii="Verdana" w:hAnsi="Verdana" w:cs="Arial"/>
              </w:rPr>
            </w:pPr>
            <w:bookmarkStart w:id="779" w:name="_bookmark3"/>
            <w:bookmarkEnd w:id="779"/>
            <w:r w:rsidRPr="00CD459A">
              <w:rPr>
                <w:rFonts w:ascii="Verdana" w:hAnsi="Verdana" w:cs="Arial"/>
              </w:rPr>
              <w:t>PASIVOS</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1EB71986"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715AFAFA" w14:textId="77777777" w:rsidR="007C7EF4" w:rsidRPr="00CD459A" w:rsidRDefault="007C7EF4" w:rsidP="003B74CE">
            <w:pPr>
              <w:jc w:val="both"/>
              <w:rPr>
                <w:rFonts w:ascii="Verdana" w:hAnsi="Verdana" w:cs="Arial"/>
              </w:rPr>
            </w:pPr>
          </w:p>
        </w:tc>
      </w:tr>
    </w:tbl>
    <w:p w14:paraId="277C95F4" w14:textId="77777777" w:rsidR="007C7EF4" w:rsidRPr="00CD459A" w:rsidRDefault="007C7EF4" w:rsidP="007C7EF4">
      <w:pPr>
        <w:suppressLineNumbers/>
        <w:tabs>
          <w:tab w:val="left" w:pos="-720"/>
        </w:tabs>
        <w:ind w:left="284" w:hanging="284"/>
        <w:jc w:val="both"/>
        <w:rPr>
          <w:rFonts w:ascii="Verdana" w:hAnsi="Verdana" w:cs="Arial"/>
        </w:rPr>
      </w:pPr>
    </w:p>
    <w:p w14:paraId="71916C3B"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4C27631E" w14:textId="77777777" w:rsidR="007C7EF4" w:rsidRPr="00CD459A" w:rsidRDefault="007C7EF4" w:rsidP="007C7EF4">
      <w:pPr>
        <w:pStyle w:val="Textoindependiente"/>
        <w:ind w:right="246"/>
        <w:rPr>
          <w:rFonts w:ascii="Verdana" w:hAnsi="Verdana" w:cs="Arial"/>
          <w:sz w:val="22"/>
          <w:szCs w:val="22"/>
        </w:rPr>
      </w:pPr>
      <w:r w:rsidRPr="00CD459A">
        <w:rPr>
          <w:rFonts w:ascii="Verdana" w:hAnsi="Verdana" w:cs="Arial"/>
          <w:sz w:val="22"/>
          <w:szCs w:val="22"/>
        </w:rPr>
        <w:t>En esta denominación, se incluyen los grupos que representan las obligaciones presentes que tiene la entidad como producto de sucesos pasados para cuya cancelación, una vez vencidas, espera desprenderse de recursos que incorporan beneficios económicos o un potencial de servicio. Las cuentas que integran esta clase son de naturaleza</w:t>
      </w:r>
      <w:r w:rsidRPr="00CD459A">
        <w:rPr>
          <w:rFonts w:ascii="Verdana" w:hAnsi="Verdana" w:cs="Arial"/>
          <w:spacing w:val="-16"/>
          <w:sz w:val="22"/>
          <w:szCs w:val="22"/>
        </w:rPr>
        <w:t xml:space="preserve"> </w:t>
      </w:r>
      <w:r w:rsidRPr="00CD459A">
        <w:rPr>
          <w:rFonts w:ascii="Verdana" w:hAnsi="Verdana" w:cs="Arial"/>
          <w:sz w:val="22"/>
          <w:szCs w:val="22"/>
        </w:rPr>
        <w:t>crédito.</w:t>
      </w:r>
    </w:p>
    <w:p w14:paraId="1E124866" w14:textId="77777777" w:rsidR="007C7EF4" w:rsidRPr="00CD459A" w:rsidRDefault="007C7EF4" w:rsidP="007C7EF4">
      <w:pPr>
        <w:suppressLineNumbers/>
        <w:tabs>
          <w:tab w:val="left" w:pos="-720"/>
        </w:tabs>
        <w:ind w:left="284" w:hanging="284"/>
        <w:jc w:val="both"/>
        <w:rPr>
          <w:rFonts w:ascii="Verdana" w:hAnsi="Verdana" w:cs="Arial"/>
        </w:rPr>
      </w:pPr>
    </w:p>
    <w:tbl>
      <w:tblPr>
        <w:tblW w:w="8985" w:type="dxa"/>
        <w:tblInd w:w="177" w:type="dxa"/>
        <w:tblLayout w:type="fixed"/>
        <w:tblCellMar>
          <w:left w:w="0" w:type="dxa"/>
          <w:right w:w="0" w:type="dxa"/>
        </w:tblCellMar>
        <w:tblLook w:val="01E0" w:firstRow="1" w:lastRow="1" w:firstColumn="1" w:lastColumn="1" w:noHBand="0" w:noVBand="0"/>
      </w:tblPr>
      <w:tblGrid>
        <w:gridCol w:w="2010"/>
        <w:gridCol w:w="3445"/>
        <w:gridCol w:w="3530"/>
      </w:tblGrid>
      <w:tr w:rsidR="00CD459A" w:rsidRPr="00CD459A" w14:paraId="0FEA00FD" w14:textId="77777777" w:rsidTr="003B74CE">
        <w:trPr>
          <w:trHeight w:hRule="exact" w:val="424"/>
        </w:trPr>
        <w:tc>
          <w:tcPr>
            <w:tcW w:w="2010" w:type="dxa"/>
            <w:tcBorders>
              <w:top w:val="single" w:sz="4" w:space="0" w:color="000000"/>
              <w:left w:val="single" w:sz="4" w:space="0" w:color="000000"/>
              <w:bottom w:val="single" w:sz="4" w:space="0" w:color="000000"/>
              <w:right w:val="single" w:sz="4" w:space="0" w:color="000000"/>
            </w:tcBorders>
            <w:shd w:val="clear" w:color="auto" w:fill="auto"/>
          </w:tcPr>
          <w:p w14:paraId="3E702402" w14:textId="77777777" w:rsidR="007C7EF4" w:rsidRPr="00CD459A" w:rsidRDefault="007C7EF4" w:rsidP="003B74CE">
            <w:pPr>
              <w:pStyle w:val="TableParagraph"/>
              <w:spacing w:before="83"/>
              <w:ind w:right="719"/>
              <w:jc w:val="center"/>
              <w:rPr>
                <w:rFonts w:ascii="Verdana" w:hAnsi="Verdana" w:cs="Arial"/>
                <w:b/>
                <w:bCs/>
              </w:rPr>
            </w:pPr>
            <w:r w:rsidRPr="00CD459A">
              <w:rPr>
                <w:rFonts w:ascii="Verdana" w:hAnsi="Verdana" w:cs="Arial"/>
                <w:b/>
                <w:bCs/>
              </w:rPr>
              <w:t>CLASE</w:t>
            </w:r>
          </w:p>
        </w:tc>
        <w:tc>
          <w:tcPr>
            <w:tcW w:w="3445" w:type="dxa"/>
            <w:tcBorders>
              <w:top w:val="single" w:sz="4" w:space="0" w:color="000000"/>
              <w:left w:val="single" w:sz="4" w:space="0" w:color="000000"/>
              <w:bottom w:val="single" w:sz="4" w:space="0" w:color="000000"/>
              <w:right w:val="single" w:sz="4" w:space="0" w:color="000000"/>
            </w:tcBorders>
            <w:shd w:val="clear" w:color="auto" w:fill="auto"/>
          </w:tcPr>
          <w:p w14:paraId="6F2227FB" w14:textId="77777777" w:rsidR="007C7EF4" w:rsidRPr="00CD459A" w:rsidRDefault="007C7EF4" w:rsidP="003B74CE">
            <w:pPr>
              <w:pStyle w:val="TableParagraph"/>
              <w:spacing w:before="83"/>
              <w:ind w:right="1368"/>
              <w:jc w:val="center"/>
              <w:rPr>
                <w:rFonts w:ascii="Verdana" w:hAnsi="Verdana" w:cs="Arial"/>
                <w:b/>
                <w:bCs/>
              </w:rPr>
            </w:pPr>
            <w:r w:rsidRPr="00CD459A">
              <w:rPr>
                <w:rFonts w:ascii="Verdana" w:hAnsi="Verdana" w:cs="Arial"/>
                <w:b/>
                <w:bCs/>
              </w:rPr>
              <w:t>GRUPO</w:t>
            </w:r>
          </w:p>
        </w:tc>
        <w:tc>
          <w:tcPr>
            <w:tcW w:w="3530" w:type="dxa"/>
            <w:tcBorders>
              <w:top w:val="single" w:sz="4" w:space="0" w:color="000000"/>
              <w:left w:val="single" w:sz="4" w:space="0" w:color="000000"/>
              <w:bottom w:val="single" w:sz="4" w:space="0" w:color="000000"/>
              <w:right w:val="single" w:sz="4" w:space="0" w:color="000000"/>
            </w:tcBorders>
            <w:shd w:val="clear" w:color="auto" w:fill="auto"/>
          </w:tcPr>
          <w:p w14:paraId="0C64BE6D" w14:textId="77777777" w:rsidR="007C7EF4" w:rsidRPr="00CD459A" w:rsidRDefault="007C7EF4" w:rsidP="003B74CE">
            <w:pPr>
              <w:pStyle w:val="TableParagraph"/>
              <w:spacing w:before="83"/>
              <w:ind w:right="1372"/>
              <w:jc w:val="center"/>
              <w:rPr>
                <w:rFonts w:ascii="Verdana" w:hAnsi="Verdana" w:cs="Arial"/>
                <w:b/>
                <w:bCs/>
              </w:rPr>
            </w:pPr>
            <w:r w:rsidRPr="00CD459A">
              <w:rPr>
                <w:rFonts w:ascii="Verdana" w:hAnsi="Verdana" w:cs="Arial"/>
                <w:b/>
                <w:bCs/>
              </w:rPr>
              <w:t>CUENTA</w:t>
            </w:r>
          </w:p>
        </w:tc>
      </w:tr>
      <w:tr w:rsidR="00CD459A" w:rsidRPr="00CD459A" w14:paraId="203D18D7" w14:textId="77777777" w:rsidTr="003B74CE">
        <w:trPr>
          <w:trHeight w:hRule="exact" w:val="427"/>
        </w:trPr>
        <w:tc>
          <w:tcPr>
            <w:tcW w:w="2010" w:type="dxa"/>
            <w:tcBorders>
              <w:top w:val="single" w:sz="4" w:space="0" w:color="000000"/>
              <w:left w:val="single" w:sz="4" w:space="0" w:color="000000"/>
              <w:bottom w:val="single" w:sz="4" w:space="0" w:color="000000"/>
              <w:right w:val="single" w:sz="4" w:space="0" w:color="000000"/>
            </w:tcBorders>
            <w:shd w:val="clear" w:color="auto" w:fill="auto"/>
          </w:tcPr>
          <w:p w14:paraId="1F34B5E4" w14:textId="77777777" w:rsidR="007C7EF4" w:rsidRPr="00CD459A" w:rsidRDefault="007C7EF4" w:rsidP="003B74CE">
            <w:pPr>
              <w:pStyle w:val="TableParagraph"/>
              <w:spacing w:before="83"/>
              <w:ind w:left="103"/>
              <w:jc w:val="both"/>
              <w:rPr>
                <w:rFonts w:ascii="Verdana" w:hAnsi="Verdana" w:cs="Arial"/>
              </w:rPr>
            </w:pPr>
            <w:r w:rsidRPr="00CD459A">
              <w:rPr>
                <w:rFonts w:ascii="Verdana" w:hAnsi="Verdana" w:cs="Arial"/>
              </w:rPr>
              <w:t>2</w:t>
            </w:r>
          </w:p>
        </w:tc>
        <w:tc>
          <w:tcPr>
            <w:tcW w:w="3445" w:type="dxa"/>
            <w:tcBorders>
              <w:top w:val="single" w:sz="4" w:space="0" w:color="000000"/>
              <w:left w:val="single" w:sz="4" w:space="0" w:color="000000"/>
              <w:bottom w:val="single" w:sz="4" w:space="0" w:color="000000"/>
              <w:right w:val="single" w:sz="4" w:space="0" w:color="000000"/>
            </w:tcBorders>
            <w:shd w:val="clear" w:color="auto" w:fill="auto"/>
          </w:tcPr>
          <w:p w14:paraId="4432A659" w14:textId="77777777" w:rsidR="007C7EF4" w:rsidRPr="00CD459A" w:rsidRDefault="007C7EF4" w:rsidP="003B74CE">
            <w:pPr>
              <w:pStyle w:val="TableParagraph"/>
              <w:spacing w:before="83"/>
              <w:ind w:left="103" w:right="522"/>
              <w:jc w:val="both"/>
              <w:rPr>
                <w:rFonts w:ascii="Verdana" w:hAnsi="Verdana" w:cs="Arial"/>
              </w:rPr>
            </w:pPr>
            <w:r w:rsidRPr="00CD459A">
              <w:rPr>
                <w:rFonts w:ascii="Verdana" w:hAnsi="Verdana" w:cs="Arial"/>
              </w:rPr>
              <w:t>24</w:t>
            </w:r>
          </w:p>
        </w:tc>
        <w:tc>
          <w:tcPr>
            <w:tcW w:w="3530" w:type="dxa"/>
            <w:tcBorders>
              <w:top w:val="single" w:sz="4" w:space="0" w:color="000000"/>
              <w:left w:val="single" w:sz="4" w:space="0" w:color="000000"/>
              <w:bottom w:val="single" w:sz="4" w:space="0" w:color="000000"/>
              <w:right w:val="single" w:sz="4" w:space="0" w:color="000000"/>
            </w:tcBorders>
            <w:shd w:val="clear" w:color="auto" w:fill="auto"/>
          </w:tcPr>
          <w:p w14:paraId="662478D9" w14:textId="77777777" w:rsidR="007C7EF4" w:rsidRPr="00CD459A" w:rsidRDefault="007C7EF4" w:rsidP="003B74CE">
            <w:pPr>
              <w:jc w:val="both"/>
              <w:rPr>
                <w:rFonts w:ascii="Verdana" w:hAnsi="Verdana" w:cs="Arial"/>
              </w:rPr>
            </w:pPr>
          </w:p>
        </w:tc>
      </w:tr>
      <w:tr w:rsidR="00CD459A" w:rsidRPr="00CD459A" w14:paraId="13588563" w14:textId="77777777" w:rsidTr="003B74CE">
        <w:trPr>
          <w:trHeight w:hRule="exact" w:val="425"/>
        </w:trPr>
        <w:tc>
          <w:tcPr>
            <w:tcW w:w="2010" w:type="dxa"/>
            <w:tcBorders>
              <w:top w:val="single" w:sz="4" w:space="0" w:color="000000"/>
              <w:left w:val="single" w:sz="4" w:space="0" w:color="000000"/>
              <w:bottom w:val="single" w:sz="4" w:space="0" w:color="000000"/>
              <w:right w:val="single" w:sz="4" w:space="0" w:color="000000"/>
            </w:tcBorders>
            <w:shd w:val="clear" w:color="auto" w:fill="auto"/>
          </w:tcPr>
          <w:p w14:paraId="62EEBB2F"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PASIVOS</w:t>
            </w:r>
          </w:p>
        </w:tc>
        <w:tc>
          <w:tcPr>
            <w:tcW w:w="3445" w:type="dxa"/>
            <w:tcBorders>
              <w:top w:val="single" w:sz="4" w:space="0" w:color="000000"/>
              <w:left w:val="single" w:sz="4" w:space="0" w:color="000000"/>
              <w:bottom w:val="single" w:sz="4" w:space="0" w:color="000000"/>
              <w:right w:val="single" w:sz="4" w:space="0" w:color="000000"/>
            </w:tcBorders>
            <w:shd w:val="clear" w:color="auto" w:fill="auto"/>
          </w:tcPr>
          <w:p w14:paraId="7B8FD40F"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CUENTAS POR</w:t>
            </w:r>
            <w:r w:rsidRPr="00CD459A">
              <w:rPr>
                <w:rFonts w:ascii="Verdana" w:hAnsi="Verdana" w:cs="Arial"/>
                <w:spacing w:val="-6"/>
              </w:rPr>
              <w:t xml:space="preserve"> </w:t>
            </w:r>
            <w:r w:rsidRPr="00CD459A">
              <w:rPr>
                <w:rFonts w:ascii="Verdana" w:hAnsi="Verdana" w:cs="Arial"/>
              </w:rPr>
              <w:t>PAGAR</w:t>
            </w:r>
          </w:p>
        </w:tc>
        <w:tc>
          <w:tcPr>
            <w:tcW w:w="3530" w:type="dxa"/>
            <w:tcBorders>
              <w:top w:val="single" w:sz="4" w:space="0" w:color="000000"/>
              <w:left w:val="single" w:sz="4" w:space="0" w:color="000000"/>
              <w:bottom w:val="single" w:sz="4" w:space="0" w:color="000000"/>
              <w:right w:val="single" w:sz="4" w:space="0" w:color="000000"/>
            </w:tcBorders>
            <w:shd w:val="clear" w:color="auto" w:fill="auto"/>
          </w:tcPr>
          <w:p w14:paraId="57C7496B" w14:textId="77777777" w:rsidR="007C7EF4" w:rsidRPr="00CD459A" w:rsidRDefault="007C7EF4" w:rsidP="003B74CE">
            <w:pPr>
              <w:jc w:val="both"/>
              <w:rPr>
                <w:rFonts w:ascii="Verdana" w:hAnsi="Verdana" w:cs="Arial"/>
              </w:rPr>
            </w:pPr>
          </w:p>
        </w:tc>
      </w:tr>
    </w:tbl>
    <w:p w14:paraId="4601CF93" w14:textId="77777777" w:rsidR="007C7EF4" w:rsidRPr="00CD459A" w:rsidRDefault="007C7EF4" w:rsidP="007C7EF4">
      <w:pPr>
        <w:suppressLineNumbers/>
        <w:tabs>
          <w:tab w:val="left" w:pos="-720"/>
        </w:tabs>
        <w:ind w:left="284" w:hanging="284"/>
        <w:jc w:val="both"/>
        <w:rPr>
          <w:rFonts w:ascii="Verdana" w:hAnsi="Verdana" w:cs="Arial"/>
        </w:rPr>
      </w:pPr>
    </w:p>
    <w:p w14:paraId="4E852579"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1FC85A69" w14:textId="77777777" w:rsidR="007C7EF4" w:rsidRPr="00CD459A" w:rsidRDefault="007C7EF4" w:rsidP="007C7EF4">
      <w:pPr>
        <w:pStyle w:val="Textoindependiente"/>
        <w:ind w:right="195"/>
        <w:rPr>
          <w:rFonts w:ascii="Verdana" w:hAnsi="Verdana" w:cs="Arial"/>
          <w:sz w:val="22"/>
          <w:szCs w:val="22"/>
        </w:rPr>
      </w:pPr>
      <w:r w:rsidRPr="00CD459A">
        <w:rPr>
          <w:rFonts w:ascii="Verdana" w:hAnsi="Verdana" w:cs="Arial"/>
          <w:sz w:val="22"/>
          <w:szCs w:val="22"/>
        </w:rPr>
        <w:t>En esta denominación, se incluyen las cuentas que representan las obligaciones adquiridas por la entidad con terceros, originadas en el desarrollo de sus actividades y de las cuales se espera, a futuro, la salida de un flujo financiero fijo o determinable a través de efectivo, equivalentes al efectivo u otro instrumento</w:t>
      </w:r>
      <w:r w:rsidRPr="00CD459A">
        <w:rPr>
          <w:rFonts w:ascii="Verdana" w:hAnsi="Verdana" w:cs="Arial"/>
          <w:spacing w:val="-9"/>
          <w:sz w:val="22"/>
          <w:szCs w:val="22"/>
        </w:rPr>
        <w:t xml:space="preserve"> </w:t>
      </w:r>
      <w:r w:rsidRPr="00CD459A">
        <w:rPr>
          <w:rFonts w:ascii="Verdana" w:hAnsi="Verdana" w:cs="Arial"/>
          <w:sz w:val="22"/>
          <w:szCs w:val="22"/>
        </w:rPr>
        <w:t>financiero.</w:t>
      </w:r>
    </w:p>
    <w:p w14:paraId="64411F72" w14:textId="77777777" w:rsidR="007C7EF4" w:rsidRPr="00CD459A" w:rsidRDefault="007C7EF4" w:rsidP="007C7EF4">
      <w:pPr>
        <w:pStyle w:val="Textoindependiente"/>
        <w:ind w:right="195"/>
        <w:rPr>
          <w:rFonts w:ascii="Verdana" w:hAnsi="Verdana" w:cs="Arial"/>
          <w:sz w:val="22"/>
          <w:szCs w:val="22"/>
        </w:rPr>
      </w:pPr>
    </w:p>
    <w:p w14:paraId="3160462F" w14:textId="77777777" w:rsidR="007C7EF4" w:rsidRPr="00CD459A" w:rsidRDefault="007C7EF4" w:rsidP="007C7EF4">
      <w:pPr>
        <w:pStyle w:val="Textoindependiente"/>
        <w:ind w:right="195"/>
        <w:rPr>
          <w:rFonts w:ascii="Verdana" w:hAnsi="Verdana" w:cs="Arial"/>
          <w:sz w:val="22"/>
          <w:szCs w:val="22"/>
        </w:rPr>
      </w:pPr>
      <w:r w:rsidRPr="00CD459A">
        <w:rPr>
          <w:rFonts w:ascii="Verdana" w:hAnsi="Verdana" w:cs="Arial"/>
          <w:sz w:val="22"/>
          <w:szCs w:val="22"/>
        </w:rPr>
        <w:t xml:space="preserve">OBJETIVO </w:t>
      </w:r>
    </w:p>
    <w:p w14:paraId="557156E2" w14:textId="77777777" w:rsidR="007C7EF4" w:rsidRPr="00CD459A" w:rsidRDefault="007C7EF4" w:rsidP="007C7EF4">
      <w:pPr>
        <w:pStyle w:val="Textoindependiente"/>
        <w:ind w:right="195"/>
        <w:rPr>
          <w:rFonts w:ascii="Verdana" w:hAnsi="Verdana" w:cs="Arial"/>
          <w:sz w:val="22"/>
          <w:szCs w:val="22"/>
        </w:rPr>
      </w:pPr>
    </w:p>
    <w:p w14:paraId="781F05D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Definir los lineamientos que se deben tener en cuenta para el reconocimiento, medición, revelación y presentación de las cuentas por pagar en los Estados Financieros del Sistema General de Regalias.</w:t>
      </w:r>
    </w:p>
    <w:p w14:paraId="592F54CE" w14:textId="77777777" w:rsidR="007C7EF4" w:rsidRPr="00CD459A" w:rsidRDefault="007C7EF4" w:rsidP="007C7EF4">
      <w:pPr>
        <w:pStyle w:val="Textoindependiente"/>
        <w:ind w:right="195"/>
        <w:rPr>
          <w:rFonts w:ascii="Verdana" w:hAnsi="Verdana" w:cs="Arial"/>
          <w:sz w:val="22"/>
          <w:szCs w:val="22"/>
        </w:rPr>
      </w:pPr>
    </w:p>
    <w:p w14:paraId="07D54512" w14:textId="77777777" w:rsidR="007C7EF4" w:rsidRPr="00CD459A" w:rsidRDefault="007C7EF4" w:rsidP="007C7EF4">
      <w:pPr>
        <w:pStyle w:val="Textoindependiente"/>
        <w:ind w:right="195"/>
        <w:rPr>
          <w:rFonts w:ascii="Verdana" w:hAnsi="Verdana" w:cs="Arial"/>
          <w:sz w:val="22"/>
          <w:szCs w:val="22"/>
        </w:rPr>
      </w:pPr>
      <w:r w:rsidRPr="00CD459A">
        <w:rPr>
          <w:rFonts w:ascii="Verdana" w:hAnsi="Verdana" w:cs="Arial"/>
          <w:sz w:val="22"/>
          <w:szCs w:val="22"/>
        </w:rPr>
        <w:t>ALCANCE</w:t>
      </w:r>
    </w:p>
    <w:p w14:paraId="1BC77C0A" w14:textId="77777777" w:rsidR="007C7EF4" w:rsidRPr="00CD459A" w:rsidRDefault="007C7EF4" w:rsidP="007C7EF4">
      <w:pPr>
        <w:pStyle w:val="Textoindependiente"/>
        <w:ind w:right="195"/>
        <w:rPr>
          <w:rFonts w:ascii="Verdana" w:hAnsi="Verdana" w:cs="Arial"/>
          <w:sz w:val="22"/>
          <w:szCs w:val="22"/>
        </w:rPr>
      </w:pPr>
    </w:p>
    <w:p w14:paraId="4EEE3D76"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Esta política se aplicará en la contabilización de las cuentas por pagar del SGR. Asimismo, las políticas detalladas a continuación deben ser aplicadas (pero no se limitan) a las siguientes partidas: </w:t>
      </w:r>
    </w:p>
    <w:p w14:paraId="5B52AC43" w14:textId="77777777" w:rsidR="007C7EF4" w:rsidRPr="00CD459A" w:rsidRDefault="007C7EF4" w:rsidP="00AB3D96">
      <w:pPr>
        <w:pStyle w:val="Prrafodelista"/>
        <w:numPr>
          <w:ilvl w:val="0"/>
          <w:numId w:val="88"/>
        </w:numPr>
        <w:spacing w:line="240" w:lineRule="auto"/>
        <w:jc w:val="both"/>
        <w:rPr>
          <w:rFonts w:ascii="Verdana" w:hAnsi="Verdana" w:cs="Arial"/>
          <w:lang w:val="es-ES_tradnl" w:eastAsia="es-CO"/>
        </w:rPr>
      </w:pPr>
      <w:r w:rsidRPr="00CD459A">
        <w:rPr>
          <w:rFonts w:ascii="Verdana" w:hAnsi="Verdana" w:cs="Arial"/>
          <w:lang w:val="es-ES_tradnl" w:eastAsia="es-CO"/>
        </w:rPr>
        <w:t>Otras Transferencias</w:t>
      </w:r>
    </w:p>
    <w:p w14:paraId="0DA772B1" w14:textId="77777777" w:rsidR="007C7EF4" w:rsidRPr="00CD459A" w:rsidRDefault="007C7EF4" w:rsidP="00AB3D96">
      <w:pPr>
        <w:pStyle w:val="Prrafodelista"/>
        <w:numPr>
          <w:ilvl w:val="0"/>
          <w:numId w:val="88"/>
        </w:numPr>
        <w:spacing w:line="240" w:lineRule="auto"/>
        <w:jc w:val="both"/>
        <w:rPr>
          <w:rFonts w:ascii="Verdana" w:hAnsi="Verdana" w:cs="Arial"/>
          <w:lang w:val="es-ES_tradnl" w:eastAsia="es-CO"/>
        </w:rPr>
      </w:pPr>
      <w:r w:rsidRPr="00CD459A">
        <w:rPr>
          <w:rFonts w:ascii="Verdana" w:hAnsi="Verdana" w:cs="Arial"/>
          <w:lang w:val="es-ES_tradnl" w:eastAsia="es-CO"/>
        </w:rPr>
        <w:t xml:space="preserve"> Transferencias por pagar del Sistema General de Regalias</w:t>
      </w:r>
    </w:p>
    <w:p w14:paraId="6BE79670" w14:textId="77777777" w:rsidR="007C7EF4" w:rsidRPr="00CD459A" w:rsidRDefault="007C7EF4" w:rsidP="00AB3D96">
      <w:pPr>
        <w:pStyle w:val="Prrafodelista"/>
        <w:numPr>
          <w:ilvl w:val="0"/>
          <w:numId w:val="88"/>
        </w:numPr>
        <w:spacing w:line="240" w:lineRule="auto"/>
        <w:jc w:val="both"/>
        <w:rPr>
          <w:rFonts w:ascii="Verdana" w:hAnsi="Verdana" w:cs="Arial"/>
          <w:lang w:val="es-ES_tradnl" w:eastAsia="es-CO"/>
        </w:rPr>
      </w:pPr>
      <w:r w:rsidRPr="00CD459A">
        <w:rPr>
          <w:rFonts w:ascii="Verdana" w:hAnsi="Verdana" w:cs="Arial"/>
          <w:lang w:val="es-ES_tradnl" w:eastAsia="es-CO"/>
        </w:rPr>
        <w:t xml:space="preserve">Recaudos por Clasificar </w:t>
      </w:r>
    </w:p>
    <w:p w14:paraId="2E8331FC" w14:textId="77777777" w:rsidR="007C7EF4" w:rsidRPr="00CD459A" w:rsidRDefault="007C7EF4" w:rsidP="00AB3D96">
      <w:pPr>
        <w:pStyle w:val="Prrafodelista"/>
        <w:numPr>
          <w:ilvl w:val="0"/>
          <w:numId w:val="88"/>
        </w:numPr>
        <w:spacing w:line="240" w:lineRule="auto"/>
        <w:jc w:val="both"/>
        <w:rPr>
          <w:rFonts w:ascii="Verdana" w:hAnsi="Verdana" w:cs="Arial"/>
          <w:lang w:val="es-ES_tradnl" w:eastAsia="es-CO"/>
        </w:rPr>
      </w:pPr>
      <w:r w:rsidRPr="00CD459A">
        <w:rPr>
          <w:rFonts w:ascii="Verdana" w:hAnsi="Verdana" w:cs="Arial"/>
          <w:lang w:val="es-ES_tradnl" w:eastAsia="es-CO"/>
        </w:rPr>
        <w:t>Otras Cuentas por pagar</w:t>
      </w:r>
    </w:p>
    <w:p w14:paraId="7A216E94" w14:textId="77777777" w:rsidR="007C7EF4" w:rsidRPr="00CD459A" w:rsidRDefault="007C7EF4" w:rsidP="007C7EF4">
      <w:pPr>
        <w:pStyle w:val="Textoindependiente"/>
        <w:ind w:right="195"/>
        <w:rPr>
          <w:rFonts w:ascii="Verdana" w:hAnsi="Verdana" w:cs="Arial"/>
          <w:sz w:val="22"/>
          <w:szCs w:val="22"/>
        </w:rPr>
      </w:pPr>
      <w:bookmarkStart w:id="780" w:name="_Toc515549481"/>
      <w:bookmarkStart w:id="781" w:name="_Toc515549875"/>
      <w:bookmarkStart w:id="782" w:name="_Toc520127371"/>
      <w:bookmarkStart w:id="783" w:name="_Toc529890465"/>
      <w:r w:rsidRPr="00CD459A">
        <w:rPr>
          <w:rFonts w:ascii="Verdana" w:hAnsi="Verdana" w:cs="Arial"/>
          <w:sz w:val="22"/>
          <w:szCs w:val="22"/>
        </w:rPr>
        <w:t>REFERENCIA A MARCO NORMATIVO DE ENTIDADES DE GOBIERNO</w:t>
      </w:r>
      <w:bookmarkEnd w:id="780"/>
      <w:bookmarkEnd w:id="781"/>
      <w:bookmarkEnd w:id="782"/>
      <w:bookmarkEnd w:id="783"/>
      <w:r w:rsidRPr="00CD459A">
        <w:rPr>
          <w:rFonts w:ascii="Verdana" w:hAnsi="Verdana" w:cs="Arial"/>
          <w:sz w:val="22"/>
          <w:szCs w:val="22"/>
        </w:rPr>
        <w:t xml:space="preserve"> </w:t>
      </w:r>
    </w:p>
    <w:p w14:paraId="6F9C2264" w14:textId="77777777" w:rsidR="007C7EF4" w:rsidRPr="00CD459A" w:rsidRDefault="007C7EF4" w:rsidP="007C7EF4">
      <w:pPr>
        <w:ind w:firstLine="709"/>
        <w:jc w:val="both"/>
        <w:rPr>
          <w:rFonts w:ascii="Verdana" w:hAnsi="Verdana" w:cs="Arial"/>
          <w:b/>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4497"/>
        <w:gridCol w:w="4341"/>
      </w:tblGrid>
      <w:tr w:rsidR="00CD459A" w:rsidRPr="00CD459A" w14:paraId="5D08CED6" w14:textId="77777777" w:rsidTr="003B74CE">
        <w:trPr>
          <w:jc w:val="center"/>
        </w:trPr>
        <w:tc>
          <w:tcPr>
            <w:tcW w:w="4533" w:type="dxa"/>
            <w:tcBorders>
              <w:bottom w:val="single" w:sz="12" w:space="0" w:color="000000"/>
            </w:tcBorders>
            <w:shd w:val="solid" w:color="2F5395" w:fill="FFFFFF"/>
            <w:vAlign w:val="center"/>
          </w:tcPr>
          <w:p w14:paraId="53E055A1"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377" w:type="dxa"/>
            <w:tcBorders>
              <w:bottom w:val="single" w:sz="12" w:space="0" w:color="000000"/>
            </w:tcBorders>
            <w:shd w:val="solid" w:color="2F5395" w:fill="FFFFFF"/>
            <w:vAlign w:val="center"/>
          </w:tcPr>
          <w:p w14:paraId="6041F2B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3DDDA567" w14:textId="77777777" w:rsidTr="003B74CE">
        <w:trPr>
          <w:jc w:val="center"/>
        </w:trPr>
        <w:tc>
          <w:tcPr>
            <w:tcW w:w="4533" w:type="dxa"/>
            <w:tcBorders>
              <w:top w:val="single" w:sz="12" w:space="0" w:color="000000"/>
              <w:bottom w:val="nil"/>
            </w:tcBorders>
            <w:shd w:val="pct20" w:color="FFFFFF" w:fill="FFFFFF"/>
            <w:vAlign w:val="center"/>
          </w:tcPr>
          <w:p w14:paraId="35F3D3B7"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377" w:type="dxa"/>
            <w:tcBorders>
              <w:top w:val="single" w:sz="12" w:space="0" w:color="000000"/>
              <w:bottom w:val="nil"/>
            </w:tcBorders>
            <w:shd w:val="pct20" w:color="FFFFFF" w:fill="FFFFFF"/>
            <w:vAlign w:val="center"/>
          </w:tcPr>
          <w:p w14:paraId="660DE380"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Grupo 24 – Cuentas por Pagar </w:t>
            </w:r>
          </w:p>
        </w:tc>
      </w:tr>
      <w:tr w:rsidR="00CD459A" w:rsidRPr="00CD459A" w14:paraId="2B20D762" w14:textId="77777777" w:rsidTr="003B74CE">
        <w:trPr>
          <w:jc w:val="center"/>
        </w:trPr>
        <w:tc>
          <w:tcPr>
            <w:tcW w:w="4533" w:type="dxa"/>
            <w:tcBorders>
              <w:bottom w:val="single" w:sz="12" w:space="0" w:color="000000"/>
            </w:tcBorders>
            <w:shd w:val="pct20" w:color="FFFFFF" w:fill="FFFFFF"/>
            <w:vAlign w:val="center"/>
          </w:tcPr>
          <w:p w14:paraId="7B1F3C94"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377" w:type="dxa"/>
            <w:tcBorders>
              <w:bottom w:val="single" w:sz="12" w:space="0" w:color="000000"/>
            </w:tcBorders>
            <w:shd w:val="pct20" w:color="FFFFFF" w:fill="FFFFFF"/>
            <w:vAlign w:val="center"/>
          </w:tcPr>
          <w:p w14:paraId="7863E3A3"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Capítulo II / Numeral 3. Cuentas por Pagar </w:t>
            </w:r>
          </w:p>
        </w:tc>
      </w:tr>
    </w:tbl>
    <w:p w14:paraId="25F3851F" w14:textId="77777777" w:rsidR="007C7EF4" w:rsidRPr="00CD459A" w:rsidRDefault="007C7EF4" w:rsidP="007C7EF4">
      <w:pPr>
        <w:pStyle w:val="Textoindependiente"/>
        <w:ind w:right="195"/>
        <w:rPr>
          <w:rFonts w:ascii="Verdana" w:hAnsi="Verdana" w:cs="Arial"/>
          <w:sz w:val="22"/>
          <w:szCs w:val="22"/>
        </w:rPr>
      </w:pPr>
    </w:p>
    <w:p w14:paraId="0A46CAC9"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5EEFC50D"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tbl>
      <w:tblPr>
        <w:tblW w:w="0" w:type="auto"/>
        <w:jc w:val="center"/>
        <w:tblBorders>
          <w:bottom w:val="single" w:sz="12" w:space="0" w:color="000000"/>
        </w:tblBorders>
        <w:tblLook w:val="0420" w:firstRow="1" w:lastRow="0" w:firstColumn="0" w:lastColumn="0" w:noHBand="0" w:noVBand="1"/>
      </w:tblPr>
      <w:tblGrid>
        <w:gridCol w:w="3317"/>
        <w:gridCol w:w="5521"/>
      </w:tblGrid>
      <w:tr w:rsidR="00CD459A" w:rsidRPr="00CD459A" w14:paraId="719E4FFF" w14:textId="77777777" w:rsidTr="00355F8E">
        <w:trPr>
          <w:tblHeader/>
          <w:jc w:val="center"/>
        </w:trPr>
        <w:tc>
          <w:tcPr>
            <w:tcW w:w="3317" w:type="dxa"/>
            <w:tcBorders>
              <w:bottom w:val="single" w:sz="12" w:space="0" w:color="000000"/>
            </w:tcBorders>
            <w:shd w:val="solid" w:color="2F5395" w:fill="FFFFFF"/>
            <w:vAlign w:val="center"/>
          </w:tcPr>
          <w:p w14:paraId="590D26B7"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ENTIDAD</w:t>
            </w:r>
          </w:p>
        </w:tc>
        <w:tc>
          <w:tcPr>
            <w:tcW w:w="5521" w:type="dxa"/>
            <w:tcBorders>
              <w:bottom w:val="single" w:sz="12" w:space="0" w:color="000000"/>
            </w:tcBorders>
            <w:shd w:val="solid" w:color="2F5395" w:fill="FFFFFF"/>
            <w:vAlign w:val="center"/>
          </w:tcPr>
          <w:p w14:paraId="68932FD1"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1169A411" w14:textId="77777777" w:rsidTr="00355F8E">
        <w:trPr>
          <w:trHeight w:val="474"/>
          <w:jc w:val="center"/>
        </w:trPr>
        <w:tc>
          <w:tcPr>
            <w:tcW w:w="3317" w:type="dxa"/>
            <w:tcBorders>
              <w:top w:val="single" w:sz="12" w:space="0" w:color="000000"/>
              <w:bottom w:val="single" w:sz="12" w:space="0" w:color="000000"/>
            </w:tcBorders>
            <w:shd w:val="pct20" w:color="FFFFFF" w:fill="FFFFFF"/>
            <w:vAlign w:val="center"/>
          </w:tcPr>
          <w:p w14:paraId="616FD921" w14:textId="77777777" w:rsidR="007C7EF4" w:rsidRPr="00CD459A" w:rsidRDefault="007C7EF4" w:rsidP="003B74CE">
            <w:pPr>
              <w:jc w:val="both"/>
              <w:rPr>
                <w:rFonts w:ascii="Verdana" w:hAnsi="Verdana" w:cs="Arial"/>
                <w:lang w:val="es-ES_tradnl" w:eastAsia="es-CO"/>
              </w:rPr>
            </w:pPr>
            <w:r w:rsidRPr="00CD459A">
              <w:rPr>
                <w:rFonts w:ascii="Verdana" w:hAnsi="Verdana" w:cs="Arial"/>
                <w:lang w:val="es-ES_tradnl" w:eastAsia="es-CO"/>
              </w:rPr>
              <w:t xml:space="preserve">Departamento Nacional de Planeación   </w:t>
            </w:r>
          </w:p>
        </w:tc>
        <w:tc>
          <w:tcPr>
            <w:tcW w:w="5521" w:type="dxa"/>
            <w:tcBorders>
              <w:top w:val="single" w:sz="12" w:space="0" w:color="000000"/>
              <w:bottom w:val="single" w:sz="12" w:space="0" w:color="000000"/>
            </w:tcBorders>
            <w:shd w:val="pct20" w:color="FFFFFF" w:fill="FFFFFF"/>
            <w:vAlign w:val="center"/>
          </w:tcPr>
          <w:p w14:paraId="1AE9AB9F"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 xml:space="preserve">Generar y Cargar en el SPGR, las Instrucciones de Abono en Cuenta, redistribuciones y demás distribuciones a las que haya lugar. </w:t>
            </w:r>
          </w:p>
        </w:tc>
      </w:tr>
      <w:tr w:rsidR="00CD459A" w:rsidRPr="00CD459A" w14:paraId="37BF0CEA" w14:textId="77777777" w:rsidTr="00355F8E">
        <w:trPr>
          <w:jc w:val="center"/>
        </w:trPr>
        <w:tc>
          <w:tcPr>
            <w:tcW w:w="3317" w:type="dxa"/>
            <w:tcBorders>
              <w:top w:val="single" w:sz="12" w:space="0" w:color="000000"/>
              <w:bottom w:val="single" w:sz="12" w:space="0" w:color="000000"/>
            </w:tcBorders>
            <w:shd w:val="pct20" w:color="FFFFFF" w:fill="FFFFFF"/>
            <w:vAlign w:val="center"/>
          </w:tcPr>
          <w:p w14:paraId="1CC7E796"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Entidades Bancarias </w:t>
            </w:r>
          </w:p>
        </w:tc>
        <w:tc>
          <w:tcPr>
            <w:tcW w:w="5521" w:type="dxa"/>
            <w:tcBorders>
              <w:top w:val="single" w:sz="12" w:space="0" w:color="000000"/>
              <w:bottom w:val="single" w:sz="12" w:space="0" w:color="000000"/>
            </w:tcBorders>
            <w:shd w:val="pct20" w:color="FFFFFF" w:fill="FFFFFF"/>
            <w:vAlign w:val="center"/>
          </w:tcPr>
          <w:p w14:paraId="3C0C1CF1"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Disponer mediante plataformas y/o correo electrónico, los extractos bancarios diarios.  </w:t>
            </w:r>
          </w:p>
        </w:tc>
      </w:tr>
      <w:tr w:rsidR="00CD459A" w:rsidRPr="00CD459A" w14:paraId="44A10CA4" w14:textId="77777777" w:rsidTr="00355F8E">
        <w:trPr>
          <w:jc w:val="center"/>
        </w:trPr>
        <w:tc>
          <w:tcPr>
            <w:tcW w:w="3317" w:type="dxa"/>
            <w:tcBorders>
              <w:top w:val="single" w:sz="12" w:space="0" w:color="000000"/>
              <w:bottom w:val="single" w:sz="12" w:space="0" w:color="000000"/>
            </w:tcBorders>
            <w:shd w:val="pct20" w:color="FFFFFF" w:fill="FFFFFF"/>
            <w:vAlign w:val="center"/>
          </w:tcPr>
          <w:p w14:paraId="375F2BCC"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Grupo de Contabilidad</w:t>
            </w:r>
          </w:p>
        </w:tc>
        <w:tc>
          <w:tcPr>
            <w:tcW w:w="5521" w:type="dxa"/>
            <w:tcBorders>
              <w:top w:val="single" w:sz="12" w:space="0" w:color="000000"/>
              <w:bottom w:val="single" w:sz="12" w:space="0" w:color="000000"/>
            </w:tcBorders>
            <w:shd w:val="pct20" w:color="FFFFFF" w:fill="FFFFFF"/>
            <w:vAlign w:val="center"/>
          </w:tcPr>
          <w:p w14:paraId="59201330"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Contabilizar los Extractos Bancarios en el SPGR.</w:t>
            </w:r>
          </w:p>
          <w:p w14:paraId="3E8D0FB9"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Llevar a cabo el proceso de conciliación de cuentas por pagar. </w:t>
            </w:r>
          </w:p>
        </w:tc>
      </w:tr>
    </w:tbl>
    <w:p w14:paraId="716EC0A6" w14:textId="77777777" w:rsidR="007C7EF4" w:rsidRPr="00CD459A" w:rsidRDefault="007C7EF4" w:rsidP="007C7EF4">
      <w:pPr>
        <w:pStyle w:val="Textoindependiente"/>
        <w:ind w:right="195"/>
        <w:rPr>
          <w:rFonts w:ascii="Verdana" w:hAnsi="Verdana" w:cs="Arial"/>
          <w:sz w:val="22"/>
          <w:szCs w:val="22"/>
        </w:rPr>
      </w:pPr>
    </w:p>
    <w:p w14:paraId="2005FAD7" w14:textId="77777777" w:rsidR="007C7EF4" w:rsidRPr="00CD459A" w:rsidRDefault="007C7EF4" w:rsidP="007C7EF4">
      <w:pPr>
        <w:pStyle w:val="Textoindependiente"/>
        <w:ind w:right="195"/>
        <w:rPr>
          <w:rFonts w:ascii="Verdana" w:hAnsi="Verdana" w:cs="Arial"/>
          <w:sz w:val="22"/>
          <w:szCs w:val="22"/>
        </w:rPr>
      </w:pPr>
    </w:p>
    <w:tbl>
      <w:tblPr>
        <w:tblW w:w="9639" w:type="dxa"/>
        <w:tblInd w:w="-5" w:type="dxa"/>
        <w:tblLayout w:type="fixed"/>
        <w:tblCellMar>
          <w:left w:w="0" w:type="dxa"/>
          <w:right w:w="0" w:type="dxa"/>
        </w:tblCellMar>
        <w:tblLook w:val="01E0" w:firstRow="1" w:lastRow="1" w:firstColumn="1" w:lastColumn="1" w:noHBand="0" w:noVBand="0"/>
      </w:tblPr>
      <w:tblGrid>
        <w:gridCol w:w="1985"/>
        <w:gridCol w:w="2136"/>
        <w:gridCol w:w="5518"/>
      </w:tblGrid>
      <w:tr w:rsidR="00CD459A" w:rsidRPr="00CD459A" w14:paraId="2AEAF317"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2074C7C6"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2136" w:type="dxa"/>
            <w:tcBorders>
              <w:top w:val="single" w:sz="4" w:space="0" w:color="000000"/>
              <w:left w:val="single" w:sz="4" w:space="0" w:color="000000"/>
              <w:bottom w:val="single" w:sz="4" w:space="0" w:color="000000"/>
              <w:right w:val="single" w:sz="4" w:space="0" w:color="000000"/>
            </w:tcBorders>
            <w:shd w:val="clear" w:color="auto" w:fill="auto"/>
          </w:tcPr>
          <w:p w14:paraId="3B20BD37"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5518" w:type="dxa"/>
            <w:tcBorders>
              <w:top w:val="single" w:sz="4" w:space="0" w:color="000000"/>
              <w:left w:val="single" w:sz="4" w:space="0" w:color="000000"/>
              <w:bottom w:val="single" w:sz="4" w:space="0" w:color="000000"/>
              <w:right w:val="single" w:sz="4" w:space="0" w:color="000000"/>
            </w:tcBorders>
            <w:shd w:val="clear" w:color="auto" w:fill="auto"/>
          </w:tcPr>
          <w:p w14:paraId="7207A8FD" w14:textId="77777777" w:rsidR="007C7EF4" w:rsidRPr="00CD459A" w:rsidRDefault="007C7EF4" w:rsidP="003B74CE">
            <w:pPr>
              <w:pStyle w:val="TableParagraph"/>
              <w:spacing w:before="81"/>
              <w:ind w:right="1370"/>
              <w:jc w:val="center"/>
              <w:rPr>
                <w:rFonts w:ascii="Verdana" w:hAnsi="Verdana" w:cs="Arial"/>
                <w:b/>
                <w:bCs/>
              </w:rPr>
            </w:pPr>
            <w:r w:rsidRPr="00CD459A">
              <w:rPr>
                <w:rFonts w:ascii="Verdana" w:hAnsi="Verdana" w:cs="Arial"/>
                <w:b/>
                <w:bCs/>
              </w:rPr>
              <w:t>CUENTA</w:t>
            </w:r>
          </w:p>
        </w:tc>
      </w:tr>
      <w:tr w:rsidR="00CD459A" w:rsidRPr="00CD459A" w14:paraId="11D8932C"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127C7287"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2</w:t>
            </w:r>
          </w:p>
        </w:tc>
        <w:tc>
          <w:tcPr>
            <w:tcW w:w="2136" w:type="dxa"/>
            <w:tcBorders>
              <w:top w:val="single" w:sz="4" w:space="0" w:color="000000"/>
              <w:left w:val="single" w:sz="4" w:space="0" w:color="000000"/>
              <w:bottom w:val="single" w:sz="4" w:space="0" w:color="000000"/>
              <w:right w:val="single" w:sz="4" w:space="0" w:color="000000"/>
            </w:tcBorders>
            <w:shd w:val="clear" w:color="auto" w:fill="auto"/>
          </w:tcPr>
          <w:p w14:paraId="4B426F39"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24</w:t>
            </w:r>
          </w:p>
        </w:tc>
        <w:tc>
          <w:tcPr>
            <w:tcW w:w="5518" w:type="dxa"/>
            <w:tcBorders>
              <w:top w:val="single" w:sz="4" w:space="0" w:color="000000"/>
              <w:left w:val="single" w:sz="4" w:space="0" w:color="000000"/>
              <w:bottom w:val="single" w:sz="4" w:space="0" w:color="000000"/>
              <w:right w:val="single" w:sz="4" w:space="0" w:color="000000"/>
            </w:tcBorders>
            <w:shd w:val="clear" w:color="auto" w:fill="auto"/>
          </w:tcPr>
          <w:p w14:paraId="4EB1B0CD"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240209</w:t>
            </w:r>
          </w:p>
        </w:tc>
      </w:tr>
      <w:tr w:rsidR="00CD459A" w:rsidRPr="00CD459A" w14:paraId="13E22C0A" w14:textId="77777777" w:rsidTr="003B74CE">
        <w:trPr>
          <w:trHeight w:hRule="exact" w:val="658"/>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C92CBA3"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PASIVOS</w:t>
            </w:r>
          </w:p>
        </w:tc>
        <w:tc>
          <w:tcPr>
            <w:tcW w:w="2136" w:type="dxa"/>
            <w:tcBorders>
              <w:top w:val="single" w:sz="4" w:space="0" w:color="000000"/>
              <w:left w:val="single" w:sz="4" w:space="0" w:color="000000"/>
              <w:bottom w:val="single" w:sz="4" w:space="0" w:color="000000"/>
              <w:right w:val="single" w:sz="4" w:space="0" w:color="000000"/>
            </w:tcBorders>
            <w:shd w:val="clear" w:color="auto" w:fill="auto"/>
          </w:tcPr>
          <w:p w14:paraId="669AFF15"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CUENTAS POR</w:t>
            </w:r>
            <w:r w:rsidRPr="00CD459A">
              <w:rPr>
                <w:rFonts w:ascii="Verdana" w:hAnsi="Verdana" w:cs="Arial"/>
                <w:spacing w:val="-6"/>
              </w:rPr>
              <w:t xml:space="preserve"> </w:t>
            </w:r>
            <w:r w:rsidRPr="00CD459A">
              <w:rPr>
                <w:rFonts w:ascii="Verdana" w:hAnsi="Verdana" w:cs="Arial"/>
              </w:rPr>
              <w:t>PAGAR</w:t>
            </w:r>
          </w:p>
        </w:tc>
        <w:tc>
          <w:tcPr>
            <w:tcW w:w="5518" w:type="dxa"/>
            <w:tcBorders>
              <w:top w:val="single" w:sz="4" w:space="0" w:color="000000"/>
              <w:left w:val="single" w:sz="4" w:space="0" w:color="000000"/>
              <w:bottom w:val="single" w:sz="4" w:space="0" w:color="000000"/>
              <w:right w:val="single" w:sz="4" w:space="0" w:color="000000"/>
            </w:tcBorders>
            <w:shd w:val="clear" w:color="auto" w:fill="auto"/>
          </w:tcPr>
          <w:p w14:paraId="6338C4C9"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SUBVENCIÓN A EMPRESAS PÚBLICAS CON RECURSOS DE FUNCIONAMIENTO DEL SISTEMA GENERAL DE REGALÍAS</w:t>
            </w:r>
          </w:p>
        </w:tc>
      </w:tr>
    </w:tbl>
    <w:p w14:paraId="66C02704" w14:textId="77777777" w:rsidR="007C7EF4" w:rsidRPr="00CD459A" w:rsidRDefault="007C7EF4" w:rsidP="007C7EF4">
      <w:pPr>
        <w:suppressLineNumbers/>
        <w:tabs>
          <w:tab w:val="left" w:pos="-720"/>
        </w:tabs>
        <w:ind w:left="284" w:hanging="284"/>
        <w:jc w:val="both"/>
        <w:rPr>
          <w:rFonts w:ascii="Verdana" w:hAnsi="Verdana" w:cs="Arial"/>
        </w:rPr>
      </w:pPr>
    </w:p>
    <w:p w14:paraId="74A5A4C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3C9E3153"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pendiente de giro por del valor distribuido a la Empresa Nacional Promotora del Desarrollo Territorial- Enterritorio por concepto de funcionamiento.</w:t>
      </w:r>
    </w:p>
    <w:p w14:paraId="1BD70C94" w14:textId="77777777" w:rsidR="007C7EF4" w:rsidRPr="00CD459A" w:rsidRDefault="007C7EF4" w:rsidP="007C7EF4">
      <w:pPr>
        <w:suppressLineNumbers/>
        <w:tabs>
          <w:tab w:val="left" w:pos="-720"/>
        </w:tabs>
        <w:ind w:left="284" w:hanging="284"/>
        <w:jc w:val="both"/>
        <w:rPr>
          <w:rFonts w:ascii="Verdana" w:hAnsi="Verdana" w:cs="Arial"/>
        </w:rPr>
      </w:pPr>
    </w:p>
    <w:p w14:paraId="240A51E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C41926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del pasivo que se muestra por este concepto corresponde al valor distribuido mediante una Instrucción de abono a la Empresa Nacional Promotora del Desarrollo Territorial- Enterritorio por concepto de funcionamiento, que se encuentra pendiente de giro.</w:t>
      </w:r>
    </w:p>
    <w:p w14:paraId="7A9955C5" w14:textId="77777777" w:rsidR="007C7EF4" w:rsidRPr="00CD459A" w:rsidRDefault="007C7EF4" w:rsidP="007C7EF4">
      <w:pPr>
        <w:suppressLineNumbers/>
        <w:tabs>
          <w:tab w:val="left" w:pos="-720"/>
        </w:tabs>
        <w:ind w:left="284" w:hanging="284"/>
        <w:jc w:val="both"/>
        <w:rPr>
          <w:rFonts w:ascii="Verdana" w:hAnsi="Verdana" w:cs="Arial"/>
        </w:rPr>
      </w:pPr>
    </w:p>
    <w:p w14:paraId="677C7228"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6E2D6DC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5FDA2E2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eastAsia="Calibri" w:hAnsi="Verdana" w:cs="Arial"/>
        </w:rPr>
        <w:t xml:space="preserve">Giros por ordenados por </w:t>
      </w:r>
      <w:r w:rsidRPr="00CD459A">
        <w:rPr>
          <w:rFonts w:ascii="Verdana" w:hAnsi="Verdana" w:cs="Arial"/>
        </w:rPr>
        <w:t>la Empresa Nacional Promotora del Desarrollo Territorial- Enterritorio</w:t>
      </w:r>
    </w:p>
    <w:p w14:paraId="5029A8E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Reintegros </w:t>
      </w:r>
      <w:r w:rsidRPr="00CD459A">
        <w:rPr>
          <w:rFonts w:ascii="Verdana" w:eastAsia="Calibri" w:hAnsi="Verdana" w:cs="Arial"/>
        </w:rPr>
        <w:t xml:space="preserve">registrados por </w:t>
      </w:r>
      <w:r w:rsidRPr="00CD459A">
        <w:rPr>
          <w:rFonts w:ascii="Verdana" w:hAnsi="Verdana" w:cs="Arial"/>
        </w:rPr>
        <w:t>la Empresa Nacional Promotora del Desarrollo Territorial- Enterritorio</w:t>
      </w:r>
    </w:p>
    <w:p w14:paraId="6941366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Pagos no Exitosos </w:t>
      </w:r>
      <w:r w:rsidRPr="00CD459A">
        <w:rPr>
          <w:rFonts w:ascii="Verdana" w:eastAsia="Calibri" w:hAnsi="Verdana" w:cs="Arial"/>
        </w:rPr>
        <w:t xml:space="preserve">generados por </w:t>
      </w:r>
      <w:r w:rsidRPr="00CD459A">
        <w:rPr>
          <w:rFonts w:ascii="Verdana" w:hAnsi="Verdana" w:cs="Arial"/>
        </w:rPr>
        <w:t>la Empresa Nacional Promotora del Desarrollo Territorial- Enterritorio</w:t>
      </w:r>
    </w:p>
    <w:p w14:paraId="05D0E5C3"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A0B233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195D0BD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determina, mediante el valor distribuido en la Instrucción de Abono en cuenta menos los giros más los reintegros más los pagos no exitosos </w:t>
      </w:r>
      <w:r w:rsidRPr="00CD459A">
        <w:rPr>
          <w:rFonts w:ascii="Verdana" w:eastAsia="Calibri" w:hAnsi="Verdana" w:cs="Arial"/>
        </w:rPr>
        <w:t xml:space="preserve">generados por </w:t>
      </w:r>
      <w:r w:rsidRPr="00CD459A">
        <w:rPr>
          <w:rFonts w:ascii="Verdana" w:hAnsi="Verdana" w:cs="Arial"/>
        </w:rPr>
        <w:t xml:space="preserve">la Empresa Nacional Promotora del Desarrollo Territorial- Enterritorio. </w:t>
      </w:r>
    </w:p>
    <w:p w14:paraId="219BD634" w14:textId="77777777" w:rsidR="007C7EF4" w:rsidRPr="00CD459A" w:rsidRDefault="007C7EF4" w:rsidP="007C7EF4">
      <w:pPr>
        <w:suppressLineNumbers/>
        <w:tabs>
          <w:tab w:val="left" w:pos="-720"/>
        </w:tabs>
        <w:ind w:left="284" w:hanging="284"/>
        <w:jc w:val="both"/>
        <w:rPr>
          <w:rFonts w:ascii="Verdana" w:hAnsi="Verdana" w:cs="Arial"/>
        </w:rPr>
      </w:pPr>
    </w:p>
    <w:p w14:paraId="72754AF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2137016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la subcuenta se discrimina el valor pendiente de giro que le corresponde a la Empresa Nacional Promotora del Desarrollo Territorial- Enterritorio.</w:t>
      </w:r>
    </w:p>
    <w:p w14:paraId="0381761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32802C9" w14:textId="77777777" w:rsidR="00355F8E" w:rsidRDefault="00355F8E" w:rsidP="00355F8E">
      <w:pPr>
        <w:suppressLineNumbers/>
        <w:tabs>
          <w:tab w:val="left" w:pos="-720"/>
        </w:tabs>
        <w:jc w:val="both"/>
        <w:rPr>
          <w:rFonts w:ascii="Verdana" w:hAnsi="Verdana" w:cs="Arial"/>
        </w:rPr>
      </w:pPr>
    </w:p>
    <w:p w14:paraId="3EBFFBA6" w14:textId="78EE25AB" w:rsidR="007C7EF4" w:rsidRPr="00CD459A" w:rsidRDefault="007C7EF4" w:rsidP="00355F8E">
      <w:pPr>
        <w:suppressLineNumbers/>
        <w:tabs>
          <w:tab w:val="left" w:pos="-720"/>
        </w:tabs>
        <w:jc w:val="both"/>
        <w:rPr>
          <w:rFonts w:ascii="Verdana" w:hAnsi="Verdana" w:cs="Arial"/>
        </w:rPr>
      </w:pPr>
      <w:r w:rsidRPr="00CD459A">
        <w:rPr>
          <w:rFonts w:ascii="Verdana" w:hAnsi="Verdana" w:cs="Arial"/>
        </w:rPr>
        <w:t>SE DEBITA CON:</w:t>
      </w:r>
    </w:p>
    <w:p w14:paraId="6625E851"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girado a los beneficiarios con cargo a los recursos de funcionamiento de la Empresa Nacional Promotora del Desarrollo Territorial- Enterritorio, con crédito a la subcuenta 114001 – Cuenta Única Sistema General de Regalías.</w:t>
      </w:r>
    </w:p>
    <w:p w14:paraId="574E6389" w14:textId="77777777" w:rsidR="007C7EF4" w:rsidRPr="00CD459A" w:rsidRDefault="007C7EF4" w:rsidP="007C7EF4">
      <w:pPr>
        <w:pStyle w:val="Prrafodelista"/>
        <w:suppressLineNumbers/>
        <w:tabs>
          <w:tab w:val="left" w:pos="-720"/>
        </w:tabs>
        <w:jc w:val="both"/>
        <w:rPr>
          <w:rFonts w:ascii="Verdana" w:hAnsi="Verdana" w:cs="Arial"/>
        </w:rPr>
      </w:pPr>
    </w:p>
    <w:p w14:paraId="754D5F2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2C4C47EC"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distribuido por funcionamiento a la Empresa Nacional Promotora del Desarrollo Territorial- Enterritorio, con debito a la subcuenta 542405 - Subvención por recursos transferidos a las empresas públicas</w:t>
      </w:r>
    </w:p>
    <w:tbl>
      <w:tblPr>
        <w:tblW w:w="8873" w:type="dxa"/>
        <w:tblInd w:w="-5" w:type="dxa"/>
        <w:tblLayout w:type="fixed"/>
        <w:tblCellMar>
          <w:left w:w="0" w:type="dxa"/>
          <w:right w:w="0" w:type="dxa"/>
        </w:tblCellMar>
        <w:tblLook w:val="01E0" w:firstRow="1" w:lastRow="1" w:firstColumn="1" w:lastColumn="1" w:noHBand="0" w:noVBand="0"/>
      </w:tblPr>
      <w:tblGrid>
        <w:gridCol w:w="1985"/>
        <w:gridCol w:w="3404"/>
        <w:gridCol w:w="3484"/>
      </w:tblGrid>
      <w:tr w:rsidR="00CD459A" w:rsidRPr="00CD459A" w14:paraId="2C19944A"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56FF82A"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3390050D"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371E9A7E" w14:textId="77777777" w:rsidR="007C7EF4" w:rsidRPr="00CD459A" w:rsidRDefault="007C7EF4" w:rsidP="003B74CE">
            <w:pPr>
              <w:pStyle w:val="TableParagraph"/>
              <w:spacing w:before="81"/>
              <w:ind w:right="1370"/>
              <w:jc w:val="center"/>
              <w:rPr>
                <w:rFonts w:ascii="Verdana" w:hAnsi="Verdana" w:cs="Arial"/>
                <w:b/>
                <w:bCs/>
              </w:rPr>
            </w:pPr>
            <w:r w:rsidRPr="00CD459A">
              <w:rPr>
                <w:rFonts w:ascii="Verdana" w:hAnsi="Verdana" w:cs="Arial"/>
                <w:b/>
                <w:bCs/>
              </w:rPr>
              <w:t>CUENTA</w:t>
            </w:r>
          </w:p>
        </w:tc>
      </w:tr>
      <w:tr w:rsidR="00CD459A" w:rsidRPr="00CD459A" w14:paraId="6FEBBC19"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6C5A9D6B"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2</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6B55F719"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24</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5BF56334"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240315</w:t>
            </w:r>
          </w:p>
        </w:tc>
      </w:tr>
      <w:tr w:rsidR="00CD459A" w:rsidRPr="00CD459A" w14:paraId="342EF28E" w14:textId="77777777" w:rsidTr="003B74CE">
        <w:trPr>
          <w:trHeight w:hRule="exact" w:val="658"/>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19BEEBD"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PASIVOS</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1622929E"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CUENTAS POR</w:t>
            </w:r>
            <w:r w:rsidRPr="00CD459A">
              <w:rPr>
                <w:rFonts w:ascii="Verdana" w:hAnsi="Verdana" w:cs="Arial"/>
                <w:spacing w:val="-6"/>
              </w:rPr>
              <w:t xml:space="preserve"> </w:t>
            </w:r>
            <w:r w:rsidRPr="00CD459A">
              <w:rPr>
                <w:rFonts w:ascii="Verdana" w:hAnsi="Verdana" w:cs="Arial"/>
              </w:rPr>
              <w:t>PAGAR</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475F7597"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OTRAS</w:t>
            </w:r>
            <w:r w:rsidRPr="00CD459A">
              <w:rPr>
                <w:rFonts w:ascii="Verdana" w:hAnsi="Verdana" w:cs="Arial"/>
                <w:spacing w:val="-9"/>
              </w:rPr>
              <w:t xml:space="preserve"> </w:t>
            </w:r>
            <w:r w:rsidRPr="00CD459A">
              <w:rPr>
                <w:rFonts w:ascii="Verdana" w:hAnsi="Verdana" w:cs="Arial"/>
              </w:rPr>
              <w:t>TRANSFERENCIAS</w:t>
            </w:r>
          </w:p>
        </w:tc>
      </w:tr>
    </w:tbl>
    <w:p w14:paraId="081BFD1E" w14:textId="77777777" w:rsidR="007C7EF4" w:rsidRPr="00CD459A" w:rsidRDefault="007C7EF4" w:rsidP="007C7EF4">
      <w:pPr>
        <w:suppressLineNumbers/>
        <w:tabs>
          <w:tab w:val="left" w:pos="-720"/>
        </w:tabs>
        <w:ind w:left="284" w:hanging="284"/>
        <w:jc w:val="both"/>
        <w:rPr>
          <w:rFonts w:ascii="Verdana" w:hAnsi="Verdana" w:cs="Arial"/>
        </w:rPr>
      </w:pPr>
    </w:p>
    <w:p w14:paraId="34CA1EF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88DC5F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pendiente de giro por concepto de incentivo a la producción, que fue destinado al presupuesto de gastos de las entidades receptoras directas de regalías y compensaciones del Sistema General de Regalías, en cumplimento de uno de los fines del Sistema, como es incentivar o propiciar la inversión en la restauración social y económica de los territorios dónde se desarrollan actividades de exploración y explotación de recursos naturales no renovables, así como la protección y recuperación ambiental. El valor del cupo que el corresponde a cada municipio productor beneficiario del incentivo se encuentra desagregado en el anexo 1 de la resolución 40907 de septiembre 5 de 2017 del Ministerio de Minas y Energía.</w:t>
      </w:r>
    </w:p>
    <w:p w14:paraId="71F1CE35" w14:textId="77777777" w:rsidR="007C7EF4" w:rsidRPr="00CD459A" w:rsidRDefault="007C7EF4" w:rsidP="007C7EF4">
      <w:pPr>
        <w:suppressLineNumbers/>
        <w:tabs>
          <w:tab w:val="left" w:pos="-720"/>
        </w:tabs>
        <w:ind w:left="284" w:hanging="284"/>
        <w:jc w:val="both"/>
        <w:rPr>
          <w:rFonts w:ascii="Verdana" w:hAnsi="Verdana" w:cs="Arial"/>
        </w:rPr>
      </w:pPr>
    </w:p>
    <w:p w14:paraId="6480A9C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56949BE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del pasivo que se muestra por este concepto corresponde al valor distribuido mediante una Instrucción de abono a cuenta emitida por el DNP que se encuentra pendiente de giro para cada tercero beneficiario.</w:t>
      </w:r>
    </w:p>
    <w:p w14:paraId="1E2DE27C" w14:textId="77777777" w:rsidR="007C7EF4" w:rsidRPr="00CD459A" w:rsidRDefault="007C7EF4" w:rsidP="007C7EF4">
      <w:pPr>
        <w:suppressLineNumbers/>
        <w:tabs>
          <w:tab w:val="left" w:pos="-720"/>
        </w:tabs>
        <w:ind w:left="284" w:hanging="284"/>
        <w:jc w:val="both"/>
        <w:rPr>
          <w:rFonts w:ascii="Verdana" w:hAnsi="Verdana" w:cs="Arial"/>
        </w:rPr>
      </w:pPr>
    </w:p>
    <w:p w14:paraId="6156624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E8B9869"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2C62E79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eastAsia="Calibri" w:hAnsi="Verdana" w:cs="Arial"/>
        </w:rPr>
        <w:t xml:space="preserve">Giros por concepto </w:t>
      </w:r>
      <w:r w:rsidRPr="00CD459A">
        <w:rPr>
          <w:rFonts w:ascii="Verdana" w:hAnsi="Verdana" w:cs="Arial"/>
        </w:rPr>
        <w:t>de Incentivo a la producción</w:t>
      </w:r>
    </w:p>
    <w:p w14:paraId="695C21F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Reintegros </w:t>
      </w:r>
      <w:r w:rsidRPr="00CD459A">
        <w:rPr>
          <w:rFonts w:ascii="Verdana" w:eastAsia="Calibri" w:hAnsi="Verdana" w:cs="Arial"/>
        </w:rPr>
        <w:t xml:space="preserve">por concepto </w:t>
      </w:r>
      <w:r w:rsidRPr="00CD459A">
        <w:rPr>
          <w:rFonts w:ascii="Verdana" w:hAnsi="Verdana" w:cs="Arial"/>
        </w:rPr>
        <w:t>de Incentivo a la producción</w:t>
      </w:r>
    </w:p>
    <w:p w14:paraId="0E90CA5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Pagos no Exitosos </w:t>
      </w:r>
      <w:r w:rsidRPr="00CD459A">
        <w:rPr>
          <w:rFonts w:ascii="Verdana" w:eastAsia="Calibri" w:hAnsi="Verdana" w:cs="Arial"/>
        </w:rPr>
        <w:t xml:space="preserve">por concepto </w:t>
      </w:r>
      <w:r w:rsidRPr="00CD459A">
        <w:rPr>
          <w:rFonts w:ascii="Verdana" w:hAnsi="Verdana" w:cs="Arial"/>
        </w:rPr>
        <w:t>de Incentivo a la producción</w:t>
      </w:r>
    </w:p>
    <w:p w14:paraId="63AF46DE"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63E95A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0A7A9AA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determina, mediante el valor distribuido en la Instrucción de Abono en cuenta menos los giros realizados por concepto de Incentivo a la producción. </w:t>
      </w:r>
    </w:p>
    <w:p w14:paraId="1C8CDAC8" w14:textId="77777777" w:rsidR="007C7EF4" w:rsidRPr="00CD459A" w:rsidRDefault="007C7EF4" w:rsidP="007C7EF4">
      <w:pPr>
        <w:suppressLineNumbers/>
        <w:tabs>
          <w:tab w:val="left" w:pos="-720"/>
        </w:tabs>
        <w:ind w:left="284" w:hanging="284"/>
        <w:jc w:val="both"/>
        <w:rPr>
          <w:rFonts w:ascii="Verdana" w:hAnsi="Verdana" w:cs="Arial"/>
        </w:rPr>
      </w:pPr>
    </w:p>
    <w:p w14:paraId="62B1EEC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2AE8E34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la subcuenta se discrimina el valor que le corresponde a cada tercero y su participación porcentual respecto al valor total.</w:t>
      </w:r>
    </w:p>
    <w:p w14:paraId="4364AF47" w14:textId="77777777" w:rsidR="007C7EF4" w:rsidRPr="00CD459A" w:rsidRDefault="007C7EF4" w:rsidP="007C7EF4">
      <w:pPr>
        <w:suppressLineNumbers/>
        <w:tabs>
          <w:tab w:val="left" w:pos="-720"/>
        </w:tabs>
        <w:ind w:left="284" w:hanging="284"/>
        <w:jc w:val="both"/>
        <w:rPr>
          <w:rFonts w:ascii="Verdana" w:hAnsi="Verdana" w:cs="Arial"/>
        </w:rPr>
      </w:pPr>
    </w:p>
    <w:p w14:paraId="08A51A6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0F197B6" w14:textId="77777777" w:rsidR="007C7EF4" w:rsidRPr="00CD459A" w:rsidRDefault="007C7EF4" w:rsidP="007C7EF4">
      <w:pPr>
        <w:suppressLineNumbers/>
        <w:tabs>
          <w:tab w:val="left" w:pos="-720"/>
        </w:tabs>
        <w:ind w:left="284" w:hanging="284"/>
        <w:jc w:val="both"/>
        <w:rPr>
          <w:rFonts w:ascii="Verdana" w:hAnsi="Verdana" w:cs="Arial"/>
        </w:rPr>
      </w:pPr>
    </w:p>
    <w:p w14:paraId="0F55FBD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70ABD91F"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girado a los beneficiarios del incentivo a la producción, con crédito a la subcuenta 114001 – Cuenta Única Sistema General de Regalías.</w:t>
      </w:r>
    </w:p>
    <w:p w14:paraId="0BB56EEE" w14:textId="77777777" w:rsidR="007C7EF4" w:rsidRPr="00CD459A" w:rsidRDefault="007C7EF4" w:rsidP="007C7EF4">
      <w:pPr>
        <w:pStyle w:val="Prrafodelista"/>
        <w:suppressLineNumbers/>
        <w:tabs>
          <w:tab w:val="left" w:pos="-720"/>
        </w:tabs>
        <w:jc w:val="both"/>
        <w:rPr>
          <w:rFonts w:ascii="Verdana" w:hAnsi="Verdana" w:cs="Arial"/>
        </w:rPr>
      </w:pPr>
    </w:p>
    <w:p w14:paraId="4A6D4CE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4ED8C297"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distribuido por este concepto a cada tercero mediante la Instrucción de abono a cuenta por el Departamento Nacional de Planeación, con debito a la subcuenta 542316 - Incentivos a la producción minera.</w:t>
      </w:r>
    </w:p>
    <w:p w14:paraId="6CADEC3A" w14:textId="77777777" w:rsidR="007C7EF4" w:rsidRPr="00CD459A" w:rsidRDefault="007C7EF4" w:rsidP="007C7EF4">
      <w:pPr>
        <w:suppressLineNumbers/>
        <w:tabs>
          <w:tab w:val="left" w:pos="-720"/>
        </w:tabs>
        <w:jc w:val="both"/>
        <w:rPr>
          <w:rFonts w:ascii="Verdana" w:hAnsi="Verdana" w:cs="Arial"/>
        </w:rPr>
      </w:pPr>
    </w:p>
    <w:tbl>
      <w:tblPr>
        <w:tblW w:w="8873" w:type="dxa"/>
        <w:tblInd w:w="-5" w:type="dxa"/>
        <w:tblLayout w:type="fixed"/>
        <w:tblCellMar>
          <w:left w:w="0" w:type="dxa"/>
          <w:right w:w="0" w:type="dxa"/>
        </w:tblCellMar>
        <w:tblLook w:val="01E0" w:firstRow="1" w:lastRow="1" w:firstColumn="1" w:lastColumn="1" w:noHBand="0" w:noVBand="0"/>
      </w:tblPr>
      <w:tblGrid>
        <w:gridCol w:w="1985"/>
        <w:gridCol w:w="3404"/>
        <w:gridCol w:w="3484"/>
      </w:tblGrid>
      <w:tr w:rsidR="00CD459A" w:rsidRPr="00CD459A" w14:paraId="78540B36"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674C50F3"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75CA590F"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6EC78C08" w14:textId="77777777" w:rsidR="007C7EF4" w:rsidRPr="00CD459A" w:rsidRDefault="007C7EF4" w:rsidP="003B74CE">
            <w:pPr>
              <w:pStyle w:val="TableParagraph"/>
              <w:spacing w:before="81"/>
              <w:ind w:right="1370"/>
              <w:jc w:val="center"/>
              <w:rPr>
                <w:rFonts w:ascii="Verdana" w:hAnsi="Verdana" w:cs="Arial"/>
                <w:b/>
                <w:bCs/>
              </w:rPr>
            </w:pPr>
            <w:r w:rsidRPr="00CD459A">
              <w:rPr>
                <w:rFonts w:ascii="Verdana" w:hAnsi="Verdana" w:cs="Arial"/>
                <w:b/>
                <w:bCs/>
              </w:rPr>
              <w:t>CUENTA</w:t>
            </w:r>
          </w:p>
        </w:tc>
      </w:tr>
      <w:tr w:rsidR="00CD459A" w:rsidRPr="00CD459A" w14:paraId="596FE376"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B3EFDA5"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2</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4A95737D"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24</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627C665D"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240316</w:t>
            </w:r>
          </w:p>
        </w:tc>
      </w:tr>
      <w:tr w:rsidR="00CD459A" w:rsidRPr="00CD459A" w14:paraId="7FA9A49F" w14:textId="77777777" w:rsidTr="003B74CE">
        <w:trPr>
          <w:trHeight w:hRule="exact" w:val="658"/>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476125D"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PASIVOS</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30AB543A"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CUENTAS POR</w:t>
            </w:r>
            <w:r w:rsidRPr="00CD459A">
              <w:rPr>
                <w:rFonts w:ascii="Verdana" w:hAnsi="Verdana" w:cs="Arial"/>
                <w:spacing w:val="-6"/>
              </w:rPr>
              <w:t xml:space="preserve"> </w:t>
            </w:r>
            <w:r w:rsidRPr="00CD459A">
              <w:rPr>
                <w:rFonts w:ascii="Verdana" w:hAnsi="Verdana" w:cs="Arial"/>
              </w:rPr>
              <w:t>PAGAR</w:t>
            </w:r>
          </w:p>
        </w:tc>
        <w:tc>
          <w:tcPr>
            <w:tcW w:w="3484" w:type="dxa"/>
            <w:tcBorders>
              <w:top w:val="single" w:sz="4" w:space="0" w:color="000000"/>
              <w:left w:val="single" w:sz="4" w:space="0" w:color="000000"/>
              <w:bottom w:val="single" w:sz="4" w:space="0" w:color="000000"/>
              <w:right w:val="single" w:sz="4" w:space="0" w:color="000000"/>
            </w:tcBorders>
            <w:shd w:val="clear" w:color="auto" w:fill="auto"/>
          </w:tcPr>
          <w:p w14:paraId="37CAF1C3"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 xml:space="preserve">SISTEMA GENERAL DE REGALIAS </w:t>
            </w:r>
          </w:p>
        </w:tc>
      </w:tr>
    </w:tbl>
    <w:p w14:paraId="2A1D5F59" w14:textId="77777777" w:rsidR="007C7EF4" w:rsidRPr="00CD459A" w:rsidRDefault="007C7EF4" w:rsidP="007C7EF4">
      <w:pPr>
        <w:suppressLineNumbers/>
        <w:tabs>
          <w:tab w:val="left" w:pos="-720"/>
        </w:tabs>
        <w:ind w:left="284" w:hanging="284"/>
        <w:jc w:val="both"/>
        <w:rPr>
          <w:rFonts w:ascii="Verdana" w:hAnsi="Verdana" w:cs="Arial"/>
        </w:rPr>
      </w:pPr>
    </w:p>
    <w:p w14:paraId="7753F761" w14:textId="5F5C747F" w:rsidR="007C7EF4" w:rsidRPr="00CD459A" w:rsidRDefault="007C7EF4" w:rsidP="00355F8E">
      <w:pPr>
        <w:suppressLineNumbers/>
        <w:tabs>
          <w:tab w:val="left" w:pos="-720"/>
        </w:tabs>
        <w:ind w:left="284" w:hanging="284"/>
        <w:jc w:val="both"/>
        <w:rPr>
          <w:rFonts w:ascii="Verdana" w:hAnsi="Verdana" w:cs="Arial"/>
        </w:rPr>
      </w:pPr>
      <w:r w:rsidRPr="00CD459A">
        <w:rPr>
          <w:rFonts w:ascii="Verdana" w:hAnsi="Verdana" w:cs="Arial"/>
        </w:rPr>
        <w:t>DESCRIPCIÓN</w:t>
      </w:r>
    </w:p>
    <w:p w14:paraId="6B46341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Esta subcuenta es el pasivo más representativo del Sistema General de Regalías y refleja el valor total acumulado de distribuciones realizadas por el Departamento Nacional de Planeación mediante “Instrucción de Abono a cuenta” que se encuentra pendiente de giro por los diferentes conceptos. La “Instrucción de abono a cuenta” es el acto administrativo mediante el cual la entidad competente distribuye las regalías entre los fondos, beneficiarios y conceptos de acuerdo con los porcentajes y lineamientos definidos en las normas que regula el Sistema. Para cada fondo y concepto existen requisitos y cumplimiento de trámites que se deben cumplir para proceder al giro, por ello se justifica la dimensión de esta partida en la información contable del Sistema general de Regalías. En este sentido esta partida representa una obligación real con terceros, originadas en el desarrollo de sus actividades y de las cuales se espera, a futuro, la salida de un flujo financiero fijo o determinable a través de efectivo.</w:t>
      </w:r>
    </w:p>
    <w:p w14:paraId="7F49D0FD" w14:textId="77777777" w:rsidR="007C7EF4" w:rsidRPr="00CD459A" w:rsidRDefault="007C7EF4" w:rsidP="007C7EF4">
      <w:pPr>
        <w:suppressLineNumbers/>
        <w:tabs>
          <w:tab w:val="left" w:pos="-720"/>
        </w:tabs>
        <w:ind w:left="284" w:hanging="284"/>
        <w:jc w:val="both"/>
        <w:rPr>
          <w:rFonts w:ascii="Verdana" w:hAnsi="Verdana" w:cs="Arial"/>
        </w:rPr>
      </w:pPr>
    </w:p>
    <w:p w14:paraId="4DE36A6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2579D97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La obligación con cada tercero se registra por el valor que resulte de aplicar los porcentajes definidos en la legislación para cada concepto, teniendo como soporte la Instrucción de abono a cuenta emitida por el Departamento Nacional de Planeación, la desafectación se registra por el valor que se gira a cada tercero una vez cumplidos los requisitos y condiciones establecidos por cada concepto.</w:t>
      </w:r>
    </w:p>
    <w:p w14:paraId="4E98E57A"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AA8501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78B3278B"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0C010B1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eastAsia="Calibri" w:hAnsi="Verdana" w:cs="Arial"/>
        </w:rPr>
        <w:t xml:space="preserve">Giros por concepto </w:t>
      </w:r>
      <w:r w:rsidRPr="00CD459A">
        <w:rPr>
          <w:rFonts w:ascii="Verdana" w:hAnsi="Verdana" w:cs="Arial"/>
        </w:rPr>
        <w:t>de Incentivo a la producción</w:t>
      </w:r>
    </w:p>
    <w:p w14:paraId="1F13341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Reintegros </w:t>
      </w:r>
      <w:r w:rsidRPr="00CD459A">
        <w:rPr>
          <w:rFonts w:ascii="Verdana" w:eastAsia="Calibri" w:hAnsi="Verdana" w:cs="Arial"/>
        </w:rPr>
        <w:t xml:space="preserve">por concepto </w:t>
      </w:r>
      <w:r w:rsidRPr="00CD459A">
        <w:rPr>
          <w:rFonts w:ascii="Verdana" w:hAnsi="Verdana" w:cs="Arial"/>
        </w:rPr>
        <w:t>de Incentivo a la producción</w:t>
      </w:r>
    </w:p>
    <w:p w14:paraId="3EC336A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Pagos no Exitosos </w:t>
      </w:r>
      <w:r w:rsidRPr="00CD459A">
        <w:rPr>
          <w:rFonts w:ascii="Verdana" w:eastAsia="Calibri" w:hAnsi="Verdana" w:cs="Arial"/>
        </w:rPr>
        <w:t xml:space="preserve">por concepto </w:t>
      </w:r>
      <w:r w:rsidRPr="00CD459A">
        <w:rPr>
          <w:rFonts w:ascii="Verdana" w:hAnsi="Verdana" w:cs="Arial"/>
        </w:rPr>
        <w:t>de Incentivo a la producción</w:t>
      </w:r>
    </w:p>
    <w:p w14:paraId="62151ACE"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EB24520"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0064CB1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contable se determina, mediante el valor distribuido en la Instrucción de Abono en cuenta, reintegros y pagos no exitosos menos los giros realizados,  por los  concepto de Asignaciones Directas, Para proyectos de ciencia, tecnología e innovación, Para proyectos de desarrollo regional, Para proyectos de compensación regional, Para ahorro pensional territorial, Para proyectos de inversión de los municipios ribereños del río grande de la magdalena y canal del dique, Para fiscalización del SGR, Para monitoreo, seguimiento, control y evaluación del SGR, Asignación para la Paz.</w:t>
      </w:r>
    </w:p>
    <w:p w14:paraId="35D0D0B5" w14:textId="77777777" w:rsidR="007C7EF4" w:rsidRPr="00CD459A" w:rsidRDefault="007C7EF4" w:rsidP="007C7EF4">
      <w:pPr>
        <w:suppressLineNumbers/>
        <w:tabs>
          <w:tab w:val="left" w:pos="-720"/>
        </w:tabs>
        <w:ind w:left="284" w:hanging="284"/>
        <w:jc w:val="both"/>
        <w:rPr>
          <w:rFonts w:ascii="Verdana" w:hAnsi="Verdana" w:cs="Arial"/>
        </w:rPr>
      </w:pPr>
    </w:p>
    <w:p w14:paraId="26E379F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7624413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la subcuenta se discrimina el valor que le corresponde a cada tercero y su participación porcentual respecto al valor total.</w:t>
      </w:r>
    </w:p>
    <w:p w14:paraId="67E79C32" w14:textId="77777777" w:rsidR="007C7EF4" w:rsidRPr="00CD459A" w:rsidRDefault="007C7EF4" w:rsidP="007C7EF4">
      <w:pPr>
        <w:suppressLineNumbers/>
        <w:tabs>
          <w:tab w:val="left" w:pos="-720"/>
        </w:tabs>
        <w:jc w:val="both"/>
        <w:rPr>
          <w:rFonts w:ascii="Verdana" w:hAnsi="Verdana" w:cs="Arial"/>
        </w:rPr>
      </w:pPr>
    </w:p>
    <w:p w14:paraId="3B601EA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7185BDFE" w14:textId="77777777" w:rsidR="007C7EF4" w:rsidRPr="00CD459A" w:rsidRDefault="007C7EF4" w:rsidP="007C7EF4">
      <w:pPr>
        <w:suppressLineNumbers/>
        <w:tabs>
          <w:tab w:val="left" w:pos="-720"/>
        </w:tabs>
        <w:ind w:left="284" w:hanging="284"/>
        <w:jc w:val="both"/>
        <w:rPr>
          <w:rFonts w:ascii="Verdana" w:hAnsi="Verdana" w:cs="Arial"/>
        </w:rPr>
      </w:pPr>
    </w:p>
    <w:p w14:paraId="32D6AFB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0BA259C0" w14:textId="77777777" w:rsidR="007C7EF4" w:rsidRPr="00CD459A" w:rsidRDefault="007C7EF4" w:rsidP="00AB3D96">
      <w:pPr>
        <w:pStyle w:val="Prrafodelista"/>
        <w:numPr>
          <w:ilvl w:val="0"/>
          <w:numId w:val="39"/>
        </w:numPr>
        <w:suppressLineNumbers/>
        <w:tabs>
          <w:tab w:val="left" w:pos="-720"/>
        </w:tabs>
        <w:spacing w:line="240" w:lineRule="auto"/>
        <w:jc w:val="both"/>
        <w:rPr>
          <w:rFonts w:ascii="Verdana" w:hAnsi="Verdana" w:cs="Arial"/>
        </w:rPr>
      </w:pPr>
      <w:r w:rsidRPr="00CD459A">
        <w:rPr>
          <w:rFonts w:ascii="Verdana" w:hAnsi="Verdana" w:cs="Arial"/>
        </w:rPr>
        <w:t>El valor girado a los terceros por cada concepto una vez cumplidos los requisitos y condiciones, con crédito a la subcuenta 114001 – Cuenta Única Sistema General de regalías.</w:t>
      </w:r>
    </w:p>
    <w:p w14:paraId="6E59DA83" w14:textId="77777777" w:rsidR="007C7EF4" w:rsidRPr="00CD459A" w:rsidRDefault="007C7EF4" w:rsidP="007C7EF4">
      <w:pPr>
        <w:pStyle w:val="Prrafodelista"/>
        <w:suppressLineNumbers/>
        <w:tabs>
          <w:tab w:val="left" w:pos="-720"/>
        </w:tabs>
        <w:jc w:val="both"/>
        <w:rPr>
          <w:rFonts w:ascii="Verdana" w:hAnsi="Verdana" w:cs="Arial"/>
        </w:rPr>
      </w:pPr>
    </w:p>
    <w:p w14:paraId="0820C389" w14:textId="77777777" w:rsidR="007C7EF4" w:rsidRPr="00CD459A" w:rsidRDefault="007C7EF4" w:rsidP="007C7EF4">
      <w:pPr>
        <w:pStyle w:val="Prrafodelista"/>
        <w:suppressLineNumbers/>
        <w:tabs>
          <w:tab w:val="left" w:pos="-720"/>
        </w:tabs>
        <w:jc w:val="both"/>
        <w:rPr>
          <w:rFonts w:ascii="Verdana" w:hAnsi="Verdana" w:cs="Arial"/>
        </w:rPr>
      </w:pPr>
    </w:p>
    <w:p w14:paraId="6BFA20A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4975CE7F" w14:textId="77777777" w:rsidR="007C7EF4" w:rsidRPr="00CD459A" w:rsidRDefault="007C7EF4" w:rsidP="00AB3D96">
      <w:pPr>
        <w:pStyle w:val="Prrafodelista"/>
        <w:numPr>
          <w:ilvl w:val="0"/>
          <w:numId w:val="38"/>
        </w:numPr>
        <w:suppressLineNumbers/>
        <w:tabs>
          <w:tab w:val="left" w:pos="-720"/>
        </w:tabs>
        <w:spacing w:line="240" w:lineRule="auto"/>
        <w:jc w:val="both"/>
        <w:rPr>
          <w:rFonts w:ascii="Verdana" w:hAnsi="Verdana" w:cs="Arial"/>
        </w:rPr>
      </w:pPr>
      <w:r w:rsidRPr="00CD459A">
        <w:rPr>
          <w:rFonts w:ascii="Verdana" w:hAnsi="Verdana" w:cs="Arial"/>
        </w:rPr>
        <w:t>El valor distribuido por cada concepto a cada tercero mediante la Instrucción de abono a cuenta por el Departamento Nacional de Planeación, con debito a la subcuenta que le corresponda a cada concepto de la cuneta 5413 – Sistema General de Regalías.</w:t>
      </w:r>
    </w:p>
    <w:p w14:paraId="477FB594" w14:textId="77777777" w:rsidR="007C7EF4" w:rsidRPr="00CD459A" w:rsidRDefault="007C7EF4" w:rsidP="00AB3D96">
      <w:pPr>
        <w:pStyle w:val="Prrafodelista"/>
        <w:numPr>
          <w:ilvl w:val="0"/>
          <w:numId w:val="38"/>
        </w:numPr>
        <w:suppressLineNumbers/>
        <w:tabs>
          <w:tab w:val="left" w:pos="-720"/>
        </w:tabs>
        <w:spacing w:line="240" w:lineRule="auto"/>
        <w:jc w:val="both"/>
        <w:rPr>
          <w:rFonts w:ascii="Verdana" w:hAnsi="Verdana" w:cs="Arial"/>
        </w:rPr>
      </w:pPr>
      <w:r w:rsidRPr="00CD459A">
        <w:rPr>
          <w:rFonts w:ascii="Verdana" w:hAnsi="Verdana" w:cs="Arial"/>
        </w:rPr>
        <w:t>El valor redistribuido como asignaciones directas a los beneficiarios, del valor que había sido distribuido como Fondo de Desarrollo Regional para – Compensación de Asignaciones Directas, con debito a la subcuenta 541301 – Asignaciones Directas.</w:t>
      </w:r>
    </w:p>
    <w:p w14:paraId="0965C7A2" w14:textId="77777777" w:rsidR="007C7EF4" w:rsidRPr="00CD459A" w:rsidRDefault="007C7EF4" w:rsidP="007C7EF4">
      <w:pPr>
        <w:suppressLineNumbers/>
        <w:tabs>
          <w:tab w:val="left" w:pos="-720"/>
        </w:tabs>
        <w:ind w:left="284" w:hanging="284"/>
        <w:jc w:val="both"/>
        <w:rPr>
          <w:rFonts w:ascii="Verdana" w:hAnsi="Verdana" w:cs="Arial"/>
        </w:rPr>
      </w:pPr>
    </w:p>
    <w:tbl>
      <w:tblPr>
        <w:tblW w:w="8907" w:type="dxa"/>
        <w:tblBorders>
          <w:top w:val="single" w:sz="4" w:space="0" w:color="7F7F7F"/>
          <w:bottom w:val="single" w:sz="4" w:space="0" w:color="7F7F7F"/>
        </w:tblBorders>
        <w:tblLayout w:type="fixed"/>
        <w:tblLook w:val="0000" w:firstRow="0" w:lastRow="0" w:firstColumn="0" w:lastColumn="0" w:noHBand="0" w:noVBand="0"/>
      </w:tblPr>
      <w:tblGrid>
        <w:gridCol w:w="1990"/>
        <w:gridCol w:w="3424"/>
        <w:gridCol w:w="3493"/>
      </w:tblGrid>
      <w:tr w:rsidR="00CD459A" w:rsidRPr="00CD459A" w14:paraId="52D88285" w14:textId="77777777" w:rsidTr="003B74CE">
        <w:trPr>
          <w:trHeight w:val="377"/>
        </w:trPr>
        <w:tc>
          <w:tcPr>
            <w:tcW w:w="1990" w:type="dxa"/>
            <w:tcBorders>
              <w:top w:val="single" w:sz="4" w:space="0" w:color="7F7F7F"/>
              <w:left w:val="single" w:sz="4" w:space="0" w:color="7F7F7F"/>
              <w:bottom w:val="single" w:sz="4" w:space="0" w:color="7F7F7F"/>
              <w:right w:val="single" w:sz="4" w:space="0" w:color="7F7F7F"/>
            </w:tcBorders>
            <w:shd w:val="clear" w:color="auto" w:fill="auto"/>
          </w:tcPr>
          <w:p w14:paraId="20A855AA"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24" w:type="dxa"/>
            <w:tcBorders>
              <w:top w:val="single" w:sz="4" w:space="0" w:color="7F7F7F"/>
              <w:left w:val="single" w:sz="4" w:space="0" w:color="7F7F7F"/>
              <w:bottom w:val="single" w:sz="4" w:space="0" w:color="7F7F7F"/>
              <w:right w:val="single" w:sz="4" w:space="0" w:color="7F7F7F"/>
            </w:tcBorders>
            <w:shd w:val="clear" w:color="auto" w:fill="auto"/>
          </w:tcPr>
          <w:p w14:paraId="74EB1CF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93" w:type="dxa"/>
            <w:tcBorders>
              <w:top w:val="single" w:sz="4" w:space="0" w:color="7F7F7F"/>
              <w:left w:val="single" w:sz="4" w:space="0" w:color="7F7F7F"/>
              <w:bottom w:val="single" w:sz="4" w:space="0" w:color="7F7F7F"/>
              <w:right w:val="single" w:sz="4" w:space="0" w:color="7F7F7F"/>
            </w:tcBorders>
            <w:shd w:val="clear" w:color="auto" w:fill="auto"/>
          </w:tcPr>
          <w:p w14:paraId="7AC42BF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0869321C" w14:textId="77777777" w:rsidTr="003B74CE">
        <w:trPr>
          <w:trHeight w:val="355"/>
        </w:trPr>
        <w:tc>
          <w:tcPr>
            <w:tcW w:w="1990" w:type="dxa"/>
            <w:tcBorders>
              <w:left w:val="single" w:sz="4" w:space="0" w:color="7F7F7F"/>
              <w:right w:val="single" w:sz="4" w:space="0" w:color="7F7F7F"/>
            </w:tcBorders>
            <w:shd w:val="clear" w:color="auto" w:fill="auto"/>
          </w:tcPr>
          <w:p w14:paraId="5713FAA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w:t>
            </w:r>
          </w:p>
        </w:tc>
        <w:tc>
          <w:tcPr>
            <w:tcW w:w="3424" w:type="dxa"/>
            <w:tcBorders>
              <w:left w:val="single" w:sz="4" w:space="0" w:color="7F7F7F"/>
              <w:right w:val="single" w:sz="4" w:space="0" w:color="7F7F7F"/>
            </w:tcBorders>
            <w:shd w:val="clear" w:color="auto" w:fill="auto"/>
          </w:tcPr>
          <w:p w14:paraId="34841723"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24</w:t>
            </w:r>
          </w:p>
        </w:tc>
        <w:tc>
          <w:tcPr>
            <w:tcW w:w="3493" w:type="dxa"/>
            <w:tcBorders>
              <w:left w:val="single" w:sz="4" w:space="0" w:color="7F7F7F"/>
              <w:right w:val="single" w:sz="4" w:space="0" w:color="7F7F7F"/>
            </w:tcBorders>
            <w:shd w:val="clear" w:color="auto" w:fill="auto"/>
          </w:tcPr>
          <w:p w14:paraId="4A78693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240720</w:t>
            </w:r>
          </w:p>
        </w:tc>
      </w:tr>
      <w:tr w:rsidR="00CD459A" w:rsidRPr="00CD459A" w14:paraId="551F2660" w14:textId="77777777" w:rsidTr="003B74CE">
        <w:trPr>
          <w:trHeight w:val="355"/>
        </w:trPr>
        <w:tc>
          <w:tcPr>
            <w:tcW w:w="1990" w:type="dxa"/>
            <w:tcBorders>
              <w:top w:val="single" w:sz="4" w:space="0" w:color="7F7F7F"/>
              <w:left w:val="single" w:sz="4" w:space="0" w:color="7F7F7F"/>
              <w:bottom w:val="single" w:sz="4" w:space="0" w:color="7F7F7F"/>
              <w:right w:val="single" w:sz="4" w:space="0" w:color="7F7F7F"/>
            </w:tcBorders>
            <w:shd w:val="clear" w:color="auto" w:fill="auto"/>
          </w:tcPr>
          <w:p w14:paraId="46B4087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PASIVOS</w:t>
            </w:r>
          </w:p>
        </w:tc>
        <w:tc>
          <w:tcPr>
            <w:tcW w:w="3424" w:type="dxa"/>
            <w:tcBorders>
              <w:top w:val="single" w:sz="4" w:space="0" w:color="7F7F7F"/>
              <w:left w:val="single" w:sz="4" w:space="0" w:color="7F7F7F"/>
              <w:bottom w:val="single" w:sz="4" w:space="0" w:color="7F7F7F"/>
              <w:right w:val="single" w:sz="4" w:space="0" w:color="7F7F7F"/>
            </w:tcBorders>
            <w:shd w:val="clear" w:color="auto" w:fill="auto"/>
          </w:tcPr>
          <w:p w14:paraId="03B5316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POR PAGAR</w:t>
            </w:r>
          </w:p>
        </w:tc>
        <w:tc>
          <w:tcPr>
            <w:tcW w:w="3493" w:type="dxa"/>
            <w:tcBorders>
              <w:top w:val="single" w:sz="4" w:space="0" w:color="7F7F7F"/>
              <w:left w:val="single" w:sz="4" w:space="0" w:color="7F7F7F"/>
              <w:bottom w:val="single" w:sz="4" w:space="0" w:color="7F7F7F"/>
              <w:right w:val="single" w:sz="4" w:space="0" w:color="7F7F7F"/>
            </w:tcBorders>
            <w:shd w:val="clear" w:color="auto" w:fill="auto"/>
          </w:tcPr>
          <w:p w14:paraId="5934AEB4"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RECAUDOS POR CLASIFICAR</w:t>
            </w:r>
          </w:p>
        </w:tc>
      </w:tr>
    </w:tbl>
    <w:p w14:paraId="27101BCD" w14:textId="77777777" w:rsidR="007C7EF4" w:rsidRPr="00CD459A" w:rsidRDefault="007C7EF4" w:rsidP="007C7EF4">
      <w:pPr>
        <w:suppressLineNumbers/>
        <w:tabs>
          <w:tab w:val="left" w:pos="-720"/>
        </w:tabs>
        <w:ind w:left="284" w:hanging="284"/>
        <w:jc w:val="both"/>
        <w:rPr>
          <w:rFonts w:ascii="Verdana" w:hAnsi="Verdana" w:cs="Arial"/>
        </w:rPr>
      </w:pPr>
    </w:p>
    <w:p w14:paraId="300742A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AA8D76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subcuenta se muestra el valor de los recursos financieros que ingresan a las cuentas bancarias del Sistema General de Regalías y que no han sido clasificados. Una de las razones del saldo, es la imposibilidad de las Agencias por tener excedentes de liquidez en las cuentas bancarias, por lo cual deben transferir la totalidad de los recursos que ingresan a las cuentas de recaudo de regalías y hasta tanto no se establezca con certeza su procedencia no se puede disponer de estos recursos. El otro componente son los reintegros de saldos no ejecutados que consignan las entidades territoriales, ejecutores de proyectos y órganos del sistema y solo hasta cuando los imputen en el Sistema es descontado el valor del saldo de la cuenta.</w:t>
      </w:r>
    </w:p>
    <w:p w14:paraId="3A5C7F3B" w14:textId="77777777" w:rsidR="007C7EF4" w:rsidRPr="00CD459A" w:rsidRDefault="007C7EF4" w:rsidP="007C7EF4">
      <w:pPr>
        <w:suppressLineNumbers/>
        <w:tabs>
          <w:tab w:val="left" w:pos="-720"/>
        </w:tabs>
        <w:ind w:left="284" w:hanging="284"/>
        <w:jc w:val="both"/>
        <w:rPr>
          <w:rFonts w:ascii="Verdana" w:hAnsi="Verdana" w:cs="Arial"/>
        </w:rPr>
      </w:pPr>
    </w:p>
    <w:p w14:paraId="0989DB2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44BF3C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La causación se realiza por el valor del movimiento crédito que aparece en el extracto de las cuentas bancarias del Sistema general de regalías, la desafectación se realiza por el valor que se imputar de cada documento de recaudo por clasificar.</w:t>
      </w:r>
    </w:p>
    <w:p w14:paraId="20D3E3A0" w14:textId="77777777" w:rsidR="007C7EF4" w:rsidRPr="00CD459A" w:rsidRDefault="007C7EF4" w:rsidP="007C7EF4">
      <w:pPr>
        <w:suppressLineNumbers/>
        <w:tabs>
          <w:tab w:val="left" w:pos="-720"/>
        </w:tabs>
        <w:ind w:left="284" w:hanging="284"/>
        <w:jc w:val="both"/>
        <w:rPr>
          <w:rFonts w:ascii="Verdana" w:hAnsi="Verdana" w:cs="Arial"/>
        </w:rPr>
      </w:pPr>
    </w:p>
    <w:p w14:paraId="7BD02BC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6294B17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Extractos Bancarios </w:t>
      </w:r>
    </w:p>
    <w:p w14:paraId="7D6815E3"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Certificación Agencia Nacional de Minería </w:t>
      </w:r>
    </w:p>
    <w:p w14:paraId="1D1C9D8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Certificación Agencia Nacional de Hidrocarburos </w:t>
      </w:r>
    </w:p>
    <w:p w14:paraId="6DD31109"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Reintegros de Vigencia Actual y Anterior </w:t>
      </w:r>
    </w:p>
    <w:p w14:paraId="554188CB"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Devoluciones de Ingresos y no presupuestales</w:t>
      </w:r>
    </w:p>
    <w:p w14:paraId="4E29BDC5"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262093B" w14:textId="77777777" w:rsidR="007C7EF4" w:rsidRPr="00CD459A" w:rsidRDefault="007C7EF4" w:rsidP="007C7EF4">
      <w:pPr>
        <w:suppressLineNumbers/>
        <w:tabs>
          <w:tab w:val="left" w:pos="-720"/>
        </w:tabs>
        <w:ind w:left="284" w:hanging="284"/>
        <w:jc w:val="both"/>
        <w:rPr>
          <w:rFonts w:ascii="Verdana" w:eastAsia="Calibri" w:hAnsi="Verdana" w:cs="Arial"/>
        </w:rPr>
      </w:pPr>
    </w:p>
    <w:p w14:paraId="7608EE07" w14:textId="77777777" w:rsidR="007C7EF4" w:rsidRPr="00CD459A" w:rsidRDefault="007C7EF4" w:rsidP="007C7EF4">
      <w:pPr>
        <w:suppressLineNumbers/>
        <w:tabs>
          <w:tab w:val="left" w:pos="-720"/>
        </w:tabs>
        <w:ind w:left="284" w:hanging="284"/>
        <w:jc w:val="both"/>
        <w:rPr>
          <w:rFonts w:ascii="Verdana" w:eastAsia="Calibri" w:hAnsi="Verdana" w:cs="Arial"/>
        </w:rPr>
      </w:pPr>
    </w:p>
    <w:p w14:paraId="4FA07B54"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AA817D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3B5EFD4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establece, mediante los documentos de recaudo pendientes por imputar a un periodo determinado, incluyendo el valor transferido y no distribuido por la Agencia Nacional de Minería, Agencia Nacional de Hidrocarburos y el Departamento Nacional de Planeación. </w:t>
      </w:r>
    </w:p>
    <w:p w14:paraId="46269C2D" w14:textId="77777777" w:rsidR="007C7EF4" w:rsidRPr="00CD459A" w:rsidRDefault="007C7EF4" w:rsidP="007C7EF4">
      <w:pPr>
        <w:suppressLineNumbers/>
        <w:tabs>
          <w:tab w:val="left" w:pos="-720"/>
        </w:tabs>
        <w:ind w:left="284" w:hanging="284"/>
        <w:jc w:val="both"/>
        <w:rPr>
          <w:rFonts w:ascii="Verdana" w:hAnsi="Verdana" w:cs="Arial"/>
        </w:rPr>
      </w:pPr>
    </w:p>
    <w:p w14:paraId="524243F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5D3048E3"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lang w:val="es-ES_tradnl"/>
        </w:rPr>
        <w:t>El saldo de la subcuenta será revelado discriminando el tercero que quien realizó la consignación y en la medida de que se conozca la información, se identifica que entidad debe imputar cada documento de recaudo por clasificar.</w:t>
      </w:r>
      <w:r w:rsidRPr="00CD459A">
        <w:rPr>
          <w:rFonts w:ascii="Verdana" w:hAnsi="Verdana" w:cs="Arial"/>
        </w:rPr>
        <w:t xml:space="preserve"> </w:t>
      </w:r>
    </w:p>
    <w:p w14:paraId="20691FEE" w14:textId="77777777" w:rsidR="007C7EF4" w:rsidRPr="00CD459A" w:rsidRDefault="007C7EF4" w:rsidP="007C7EF4">
      <w:pPr>
        <w:suppressLineNumbers/>
        <w:tabs>
          <w:tab w:val="left" w:pos="-720"/>
        </w:tabs>
        <w:ind w:left="284" w:hanging="284"/>
        <w:jc w:val="both"/>
        <w:rPr>
          <w:rFonts w:ascii="Verdana" w:hAnsi="Verdana" w:cs="Arial"/>
        </w:rPr>
      </w:pPr>
    </w:p>
    <w:p w14:paraId="7BFAC3C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5E358CB9" w14:textId="77777777" w:rsidR="007C7EF4" w:rsidRPr="00CD459A" w:rsidRDefault="007C7EF4" w:rsidP="007C7EF4">
      <w:pPr>
        <w:suppressLineNumbers/>
        <w:tabs>
          <w:tab w:val="left" w:pos="-720"/>
        </w:tabs>
        <w:ind w:left="284" w:hanging="284"/>
        <w:jc w:val="both"/>
        <w:rPr>
          <w:rFonts w:ascii="Verdana" w:hAnsi="Verdana" w:cs="Arial"/>
        </w:rPr>
      </w:pPr>
    </w:p>
    <w:p w14:paraId="4764708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733E6E71" w14:textId="77777777" w:rsidR="007C7EF4" w:rsidRPr="00CD459A" w:rsidRDefault="007C7EF4" w:rsidP="007C7EF4">
      <w:pPr>
        <w:suppressLineNumbers/>
        <w:tabs>
          <w:tab w:val="left" w:pos="-720"/>
        </w:tabs>
        <w:ind w:left="284" w:hanging="284"/>
        <w:jc w:val="both"/>
        <w:rPr>
          <w:rFonts w:ascii="Verdana" w:hAnsi="Verdana" w:cs="Arial"/>
        </w:rPr>
      </w:pPr>
    </w:p>
    <w:p w14:paraId="3D1FDF1C" w14:textId="77777777" w:rsidR="007C7EF4" w:rsidRPr="00CD459A" w:rsidRDefault="007C7EF4" w:rsidP="00AB3D96">
      <w:pPr>
        <w:pStyle w:val="Prrafodelista"/>
        <w:numPr>
          <w:ilvl w:val="0"/>
          <w:numId w:val="41"/>
        </w:numPr>
        <w:suppressLineNumbers/>
        <w:tabs>
          <w:tab w:val="left" w:pos="-720"/>
        </w:tabs>
        <w:spacing w:line="240" w:lineRule="auto"/>
        <w:jc w:val="both"/>
        <w:rPr>
          <w:rFonts w:ascii="Verdana" w:hAnsi="Verdana" w:cs="Arial"/>
        </w:rPr>
      </w:pPr>
      <w:r w:rsidRPr="00CD459A">
        <w:rPr>
          <w:rFonts w:ascii="Verdana" w:hAnsi="Verdana" w:cs="Arial"/>
        </w:rPr>
        <w:t>El valor que se aplique como reintegro en el SPGR, con crédito a la subcuenta 240316 – Sistema general de Regalías.</w:t>
      </w:r>
    </w:p>
    <w:p w14:paraId="0ABF0AF8" w14:textId="77777777" w:rsidR="007C7EF4" w:rsidRPr="00CD459A" w:rsidRDefault="007C7EF4" w:rsidP="00AB3D96">
      <w:pPr>
        <w:pStyle w:val="Prrafodelista"/>
        <w:numPr>
          <w:ilvl w:val="0"/>
          <w:numId w:val="41"/>
        </w:numPr>
        <w:suppressLineNumbers/>
        <w:tabs>
          <w:tab w:val="left" w:pos="-720"/>
        </w:tabs>
        <w:spacing w:line="240" w:lineRule="auto"/>
        <w:jc w:val="both"/>
        <w:rPr>
          <w:rFonts w:ascii="Verdana" w:hAnsi="Verdana" w:cs="Arial"/>
        </w:rPr>
      </w:pPr>
      <w:r w:rsidRPr="00CD459A">
        <w:rPr>
          <w:rFonts w:ascii="Verdana" w:hAnsi="Verdana" w:cs="Arial"/>
        </w:rPr>
        <w:t>El valor que se aplique como ingreso contra un documento de recaudo por clasificar, con crédito a la subcuenta que identifique el concepto de la operación.</w:t>
      </w:r>
    </w:p>
    <w:p w14:paraId="5E147EBE" w14:textId="77777777" w:rsidR="007C7EF4" w:rsidRDefault="007C7EF4" w:rsidP="00AB3D96">
      <w:pPr>
        <w:pStyle w:val="Prrafodelista"/>
        <w:numPr>
          <w:ilvl w:val="0"/>
          <w:numId w:val="41"/>
        </w:numPr>
        <w:suppressLineNumbers/>
        <w:tabs>
          <w:tab w:val="left" w:pos="-720"/>
        </w:tabs>
        <w:spacing w:line="240" w:lineRule="auto"/>
        <w:jc w:val="both"/>
        <w:rPr>
          <w:rFonts w:ascii="Verdana" w:hAnsi="Verdana" w:cs="Arial"/>
        </w:rPr>
      </w:pPr>
      <w:r w:rsidRPr="00CD459A">
        <w:rPr>
          <w:rFonts w:ascii="Verdana" w:hAnsi="Verdana" w:cs="Arial"/>
        </w:rPr>
        <w:t>El valor de devoluciones a las agencias de recursos que fueron consignados a las cuentas bancarias del sistema y que no corresponden a regalías, con crédito a la subcuenta 114001 – Cuenta Única Sistema General de Regalías.</w:t>
      </w:r>
    </w:p>
    <w:p w14:paraId="1182BB69"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p w14:paraId="534F372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094C573A" w14:textId="77777777" w:rsidR="007C7EF4" w:rsidRPr="00CD459A" w:rsidRDefault="007C7EF4" w:rsidP="00AB3D96">
      <w:pPr>
        <w:pStyle w:val="Prrafodelista"/>
        <w:numPr>
          <w:ilvl w:val="0"/>
          <w:numId w:val="40"/>
        </w:numPr>
        <w:suppressLineNumbers/>
        <w:tabs>
          <w:tab w:val="left" w:pos="-720"/>
        </w:tabs>
        <w:spacing w:line="240" w:lineRule="auto"/>
        <w:jc w:val="both"/>
        <w:rPr>
          <w:rFonts w:ascii="Verdana" w:hAnsi="Verdana" w:cs="Arial"/>
        </w:rPr>
      </w:pPr>
      <w:r w:rsidRPr="00CD459A">
        <w:rPr>
          <w:rFonts w:ascii="Verdana" w:hAnsi="Verdana" w:cs="Arial"/>
        </w:rPr>
        <w:t xml:space="preserve">El valor de la entrada a las cuentas bancarias del Sistema, contabilizado mediante la creación de recaudos por clasificar, con debito a la subcuenta 114001 – Cuenta Única Sistema General de regalías. </w:t>
      </w:r>
    </w:p>
    <w:p w14:paraId="50BAF1D5" w14:textId="77777777" w:rsidR="007C7EF4" w:rsidRPr="00CD459A" w:rsidRDefault="007C7EF4" w:rsidP="007C7EF4">
      <w:pPr>
        <w:suppressLineNumbers/>
        <w:tabs>
          <w:tab w:val="left" w:pos="-720"/>
        </w:tabs>
        <w:ind w:left="284" w:hanging="284"/>
        <w:jc w:val="both"/>
        <w:rPr>
          <w:rFonts w:ascii="Verdana" w:hAnsi="Verdana" w:cs="Arial"/>
        </w:rPr>
      </w:pPr>
    </w:p>
    <w:tbl>
      <w:tblPr>
        <w:tblW w:w="8907" w:type="dxa"/>
        <w:tblBorders>
          <w:top w:val="single" w:sz="4" w:space="0" w:color="7F7F7F"/>
          <w:bottom w:val="single" w:sz="4" w:space="0" w:color="7F7F7F"/>
        </w:tblBorders>
        <w:tblLayout w:type="fixed"/>
        <w:tblLook w:val="0000" w:firstRow="0" w:lastRow="0" w:firstColumn="0" w:lastColumn="0" w:noHBand="0" w:noVBand="0"/>
      </w:tblPr>
      <w:tblGrid>
        <w:gridCol w:w="1990"/>
        <w:gridCol w:w="3424"/>
        <w:gridCol w:w="3493"/>
      </w:tblGrid>
      <w:tr w:rsidR="00CD459A" w:rsidRPr="00CD459A" w14:paraId="60564F78" w14:textId="77777777" w:rsidTr="003B74CE">
        <w:trPr>
          <w:trHeight w:val="377"/>
        </w:trPr>
        <w:tc>
          <w:tcPr>
            <w:tcW w:w="1990" w:type="dxa"/>
            <w:tcBorders>
              <w:top w:val="single" w:sz="4" w:space="0" w:color="7F7F7F"/>
              <w:left w:val="single" w:sz="4" w:space="0" w:color="7F7F7F"/>
              <w:bottom w:val="single" w:sz="4" w:space="0" w:color="7F7F7F"/>
              <w:right w:val="single" w:sz="4" w:space="0" w:color="7F7F7F"/>
            </w:tcBorders>
            <w:shd w:val="clear" w:color="auto" w:fill="auto"/>
          </w:tcPr>
          <w:p w14:paraId="2EDC673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24" w:type="dxa"/>
            <w:tcBorders>
              <w:top w:val="single" w:sz="4" w:space="0" w:color="7F7F7F"/>
              <w:left w:val="single" w:sz="4" w:space="0" w:color="7F7F7F"/>
              <w:bottom w:val="single" w:sz="4" w:space="0" w:color="7F7F7F"/>
              <w:right w:val="single" w:sz="4" w:space="0" w:color="7F7F7F"/>
            </w:tcBorders>
            <w:shd w:val="clear" w:color="auto" w:fill="auto"/>
          </w:tcPr>
          <w:p w14:paraId="586FDBC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93" w:type="dxa"/>
            <w:tcBorders>
              <w:top w:val="single" w:sz="4" w:space="0" w:color="7F7F7F"/>
              <w:left w:val="single" w:sz="4" w:space="0" w:color="7F7F7F"/>
              <w:bottom w:val="single" w:sz="4" w:space="0" w:color="7F7F7F"/>
              <w:right w:val="single" w:sz="4" w:space="0" w:color="7F7F7F"/>
            </w:tcBorders>
            <w:shd w:val="clear" w:color="auto" w:fill="auto"/>
          </w:tcPr>
          <w:p w14:paraId="5650443A"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5C875678" w14:textId="77777777" w:rsidTr="003B74CE">
        <w:trPr>
          <w:trHeight w:val="355"/>
        </w:trPr>
        <w:tc>
          <w:tcPr>
            <w:tcW w:w="1990" w:type="dxa"/>
            <w:tcBorders>
              <w:left w:val="single" w:sz="4" w:space="0" w:color="7F7F7F"/>
              <w:right w:val="single" w:sz="4" w:space="0" w:color="7F7F7F"/>
            </w:tcBorders>
            <w:shd w:val="clear" w:color="auto" w:fill="auto"/>
          </w:tcPr>
          <w:p w14:paraId="6A3385B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w:t>
            </w:r>
          </w:p>
        </w:tc>
        <w:tc>
          <w:tcPr>
            <w:tcW w:w="3424" w:type="dxa"/>
            <w:tcBorders>
              <w:left w:val="single" w:sz="4" w:space="0" w:color="7F7F7F"/>
              <w:right w:val="single" w:sz="4" w:space="0" w:color="7F7F7F"/>
            </w:tcBorders>
            <w:shd w:val="clear" w:color="auto" w:fill="auto"/>
          </w:tcPr>
          <w:p w14:paraId="559E60A7"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24</w:t>
            </w:r>
          </w:p>
        </w:tc>
        <w:tc>
          <w:tcPr>
            <w:tcW w:w="3493" w:type="dxa"/>
            <w:tcBorders>
              <w:left w:val="single" w:sz="4" w:space="0" w:color="7F7F7F"/>
              <w:right w:val="single" w:sz="4" w:space="0" w:color="7F7F7F"/>
            </w:tcBorders>
            <w:shd w:val="clear" w:color="auto" w:fill="auto"/>
          </w:tcPr>
          <w:p w14:paraId="37EEBAF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240726</w:t>
            </w:r>
          </w:p>
        </w:tc>
      </w:tr>
      <w:tr w:rsidR="00CD459A" w:rsidRPr="00CD459A" w14:paraId="67904E47" w14:textId="77777777" w:rsidTr="003B74CE">
        <w:trPr>
          <w:trHeight w:val="355"/>
        </w:trPr>
        <w:tc>
          <w:tcPr>
            <w:tcW w:w="1990" w:type="dxa"/>
            <w:tcBorders>
              <w:top w:val="single" w:sz="4" w:space="0" w:color="7F7F7F"/>
              <w:left w:val="single" w:sz="4" w:space="0" w:color="7F7F7F"/>
              <w:bottom w:val="single" w:sz="4" w:space="0" w:color="7F7F7F"/>
              <w:right w:val="single" w:sz="4" w:space="0" w:color="7F7F7F"/>
            </w:tcBorders>
            <w:shd w:val="clear" w:color="auto" w:fill="auto"/>
          </w:tcPr>
          <w:p w14:paraId="4F0D110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PASIVOS</w:t>
            </w:r>
          </w:p>
        </w:tc>
        <w:tc>
          <w:tcPr>
            <w:tcW w:w="3424" w:type="dxa"/>
            <w:tcBorders>
              <w:top w:val="single" w:sz="4" w:space="0" w:color="7F7F7F"/>
              <w:left w:val="single" w:sz="4" w:space="0" w:color="7F7F7F"/>
              <w:bottom w:val="single" w:sz="4" w:space="0" w:color="7F7F7F"/>
              <w:right w:val="single" w:sz="4" w:space="0" w:color="7F7F7F"/>
            </w:tcBorders>
            <w:shd w:val="clear" w:color="auto" w:fill="auto"/>
          </w:tcPr>
          <w:p w14:paraId="43535F2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POR PAGAR</w:t>
            </w:r>
          </w:p>
        </w:tc>
        <w:tc>
          <w:tcPr>
            <w:tcW w:w="3493" w:type="dxa"/>
            <w:tcBorders>
              <w:top w:val="single" w:sz="4" w:space="0" w:color="7F7F7F"/>
              <w:left w:val="single" w:sz="4" w:space="0" w:color="7F7F7F"/>
              <w:bottom w:val="single" w:sz="4" w:space="0" w:color="7F7F7F"/>
              <w:right w:val="single" w:sz="4" w:space="0" w:color="7F7F7F"/>
            </w:tcBorders>
            <w:shd w:val="clear" w:color="auto" w:fill="auto"/>
          </w:tcPr>
          <w:p w14:paraId="7075858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RENDIMIENTOS FINANCIEROS</w:t>
            </w:r>
          </w:p>
        </w:tc>
      </w:tr>
    </w:tbl>
    <w:p w14:paraId="2617E983" w14:textId="77777777" w:rsidR="007C7EF4" w:rsidRPr="00CD459A" w:rsidRDefault="007C7EF4" w:rsidP="007C7EF4">
      <w:pPr>
        <w:suppressLineNumbers/>
        <w:tabs>
          <w:tab w:val="left" w:pos="-720"/>
        </w:tabs>
        <w:ind w:left="284" w:hanging="284"/>
        <w:jc w:val="both"/>
        <w:rPr>
          <w:rFonts w:ascii="Verdana" w:hAnsi="Verdana" w:cs="Arial"/>
        </w:rPr>
      </w:pPr>
    </w:p>
    <w:p w14:paraId="7E6619C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B8C690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cuenta refleja los rendimientos generados por los recursos que se encuentran en la cuneta única del Sistema General de Regalías que corresponden a asignaciones directas, y que en virtud de los establecido en el artículo 20 de la Ley 1942 de 2018son propiedad de las entidades territoriales beneficiarias.</w:t>
      </w:r>
    </w:p>
    <w:p w14:paraId="54A6CB92" w14:textId="77777777" w:rsidR="007C7EF4" w:rsidRPr="00CD459A" w:rsidRDefault="007C7EF4" w:rsidP="007C7EF4">
      <w:pPr>
        <w:suppressLineNumbers/>
        <w:tabs>
          <w:tab w:val="left" w:pos="-720"/>
        </w:tabs>
        <w:ind w:left="284" w:hanging="284"/>
        <w:jc w:val="both"/>
        <w:rPr>
          <w:rFonts w:ascii="Verdana" w:hAnsi="Verdana" w:cs="Arial"/>
        </w:rPr>
      </w:pPr>
    </w:p>
    <w:p w14:paraId="1DDC948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3BB59C9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La causación se realiza por el valor mensual de la liquidación que realiza la subdirección de Tesorería sobre el valor de asignaciones directas que tiene cada entidad beneficiaria en la cuenta única del Sistema General de Regalías.</w:t>
      </w:r>
    </w:p>
    <w:p w14:paraId="4145ED2E" w14:textId="77777777" w:rsidR="007C7EF4" w:rsidRPr="00CD459A" w:rsidRDefault="007C7EF4" w:rsidP="007C7EF4">
      <w:pPr>
        <w:suppressLineNumbers/>
        <w:tabs>
          <w:tab w:val="left" w:pos="-720"/>
        </w:tabs>
        <w:ind w:left="284" w:hanging="284"/>
        <w:jc w:val="both"/>
        <w:rPr>
          <w:rFonts w:ascii="Verdana" w:hAnsi="Verdana" w:cs="Arial"/>
        </w:rPr>
      </w:pPr>
    </w:p>
    <w:p w14:paraId="32A8D5C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0021F63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Liquidación de rendimientos financieros generados por los recursos de las asignaciones directas.</w:t>
      </w:r>
    </w:p>
    <w:p w14:paraId="31EF147D"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BF1D2F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1DE9887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concilia con el saldo anterior de rendimientos financieros de asignaciones directas por cada beneficiario más los rendimientos financieros generados en el periodo objeto de reporte. </w:t>
      </w:r>
    </w:p>
    <w:p w14:paraId="232593D4" w14:textId="77777777" w:rsidR="007C7EF4" w:rsidRPr="00CD459A" w:rsidRDefault="007C7EF4" w:rsidP="007C7EF4">
      <w:pPr>
        <w:suppressLineNumbers/>
        <w:tabs>
          <w:tab w:val="left" w:pos="-720"/>
        </w:tabs>
        <w:ind w:left="284" w:hanging="284"/>
        <w:jc w:val="both"/>
        <w:rPr>
          <w:rFonts w:ascii="Verdana" w:hAnsi="Verdana" w:cs="Arial"/>
        </w:rPr>
      </w:pPr>
    </w:p>
    <w:p w14:paraId="73A4E7E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F1860B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lang w:val="es-ES_tradnl"/>
        </w:rPr>
        <w:t>El saldo de la subcuenta será revelado discriminando el tercero beneficiario de los recursos y su participación porcentual respecto al total de la subcuenta.</w:t>
      </w:r>
      <w:r w:rsidRPr="00CD459A">
        <w:rPr>
          <w:rFonts w:ascii="Verdana" w:hAnsi="Verdana" w:cs="Arial"/>
        </w:rPr>
        <w:t xml:space="preserve"> </w:t>
      </w:r>
    </w:p>
    <w:p w14:paraId="7542DF82" w14:textId="77777777" w:rsidR="007C7EF4" w:rsidRPr="00CD459A" w:rsidRDefault="007C7EF4" w:rsidP="007C7EF4">
      <w:pPr>
        <w:suppressLineNumbers/>
        <w:tabs>
          <w:tab w:val="left" w:pos="-720"/>
        </w:tabs>
        <w:ind w:left="284" w:hanging="284"/>
        <w:jc w:val="both"/>
        <w:rPr>
          <w:rFonts w:ascii="Verdana" w:hAnsi="Verdana" w:cs="Arial"/>
        </w:rPr>
      </w:pPr>
    </w:p>
    <w:p w14:paraId="218583A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5751DB7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5C35FC89" w14:textId="77777777" w:rsidR="007C7EF4" w:rsidRDefault="007C7EF4" w:rsidP="00AB3D96">
      <w:pPr>
        <w:pStyle w:val="Prrafodelista"/>
        <w:numPr>
          <w:ilvl w:val="0"/>
          <w:numId w:val="41"/>
        </w:numPr>
        <w:suppressLineNumbers/>
        <w:tabs>
          <w:tab w:val="left" w:pos="-720"/>
        </w:tabs>
        <w:spacing w:line="240" w:lineRule="auto"/>
        <w:jc w:val="both"/>
        <w:rPr>
          <w:rFonts w:ascii="Verdana" w:hAnsi="Verdana" w:cs="Arial"/>
        </w:rPr>
      </w:pPr>
      <w:r w:rsidRPr="00CD459A">
        <w:rPr>
          <w:rFonts w:ascii="Verdana" w:hAnsi="Verdana" w:cs="Arial"/>
        </w:rPr>
        <w:t>El valor de rendimientos financieros que se incorpora presupuestalmente como asignaciones directas para cada entidad territorial, con crédito a la subcuenta 240316 - Sistema General de Regalías.</w:t>
      </w:r>
    </w:p>
    <w:p w14:paraId="4FDD5FBB"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p w14:paraId="1E25EBD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7ED25AFB" w14:textId="77777777" w:rsidR="007C7EF4" w:rsidRPr="00CD459A" w:rsidRDefault="007C7EF4" w:rsidP="00AB3D96">
      <w:pPr>
        <w:pStyle w:val="Prrafodelista"/>
        <w:numPr>
          <w:ilvl w:val="0"/>
          <w:numId w:val="41"/>
        </w:numPr>
        <w:suppressLineNumbers/>
        <w:tabs>
          <w:tab w:val="left" w:pos="-720"/>
        </w:tabs>
        <w:spacing w:line="240" w:lineRule="auto"/>
        <w:jc w:val="both"/>
        <w:rPr>
          <w:rFonts w:ascii="Verdana" w:hAnsi="Verdana" w:cs="Arial"/>
        </w:rPr>
      </w:pPr>
      <w:r w:rsidRPr="00CD459A">
        <w:rPr>
          <w:rFonts w:ascii="Verdana" w:hAnsi="Verdana" w:cs="Arial"/>
        </w:rPr>
        <w:t>El valor de la acusación de rendimientos financieros generados por los recursos de asignaciones directas en la cuenta única del Sistema General de Regalías, con debito a la subcuenta 114001 – Cuenta Única Sistema General de regalías.</w:t>
      </w:r>
    </w:p>
    <w:p w14:paraId="66F93AC7" w14:textId="77777777" w:rsidR="007C7EF4" w:rsidRPr="00CD459A" w:rsidRDefault="007C7EF4" w:rsidP="007C7EF4">
      <w:pPr>
        <w:suppressLineNumbers/>
        <w:tabs>
          <w:tab w:val="left" w:pos="-720"/>
        </w:tabs>
        <w:jc w:val="both"/>
        <w:rPr>
          <w:rFonts w:ascii="Verdana" w:hAnsi="Verdana" w:cs="Arial"/>
        </w:rPr>
      </w:pPr>
    </w:p>
    <w:p w14:paraId="0250DE35" w14:textId="77777777" w:rsidR="007C7EF4" w:rsidRPr="00CD459A" w:rsidRDefault="007C7EF4" w:rsidP="007C7EF4">
      <w:pPr>
        <w:suppressLineNumbers/>
        <w:tabs>
          <w:tab w:val="left" w:pos="-720"/>
        </w:tabs>
        <w:jc w:val="both"/>
        <w:rPr>
          <w:rFonts w:ascii="Verdana" w:hAnsi="Verdana" w:cs="Arial"/>
        </w:rPr>
      </w:pPr>
    </w:p>
    <w:p w14:paraId="736938AB" w14:textId="77777777" w:rsidR="007C7EF4" w:rsidRPr="00CD459A" w:rsidRDefault="007C7EF4" w:rsidP="007C7EF4">
      <w:pPr>
        <w:suppressLineNumbers/>
        <w:tabs>
          <w:tab w:val="left" w:pos="-720"/>
        </w:tabs>
        <w:ind w:left="284" w:hanging="284"/>
        <w:jc w:val="both"/>
        <w:rPr>
          <w:rFonts w:ascii="Verdana" w:hAnsi="Verdana" w:cs="Arial"/>
        </w:rPr>
      </w:pPr>
    </w:p>
    <w:tbl>
      <w:tblPr>
        <w:tblW w:w="8953" w:type="dxa"/>
        <w:tblBorders>
          <w:top w:val="single" w:sz="4" w:space="0" w:color="7F7F7F"/>
          <w:bottom w:val="single" w:sz="4" w:space="0" w:color="7F7F7F"/>
        </w:tblBorders>
        <w:tblLayout w:type="fixed"/>
        <w:tblLook w:val="0000" w:firstRow="0" w:lastRow="0" w:firstColumn="0" w:lastColumn="0" w:noHBand="0" w:noVBand="0"/>
      </w:tblPr>
      <w:tblGrid>
        <w:gridCol w:w="1568"/>
        <w:gridCol w:w="3144"/>
        <w:gridCol w:w="4241"/>
      </w:tblGrid>
      <w:tr w:rsidR="00CD459A" w:rsidRPr="00CD459A" w14:paraId="7441CADE" w14:textId="77777777" w:rsidTr="003B74CE">
        <w:trPr>
          <w:trHeight w:val="367"/>
        </w:trPr>
        <w:tc>
          <w:tcPr>
            <w:tcW w:w="1568" w:type="dxa"/>
            <w:tcBorders>
              <w:top w:val="single" w:sz="4" w:space="0" w:color="7F7F7F"/>
              <w:left w:val="single" w:sz="4" w:space="0" w:color="7F7F7F"/>
              <w:bottom w:val="single" w:sz="4" w:space="0" w:color="7F7F7F"/>
              <w:right w:val="single" w:sz="4" w:space="0" w:color="7F7F7F"/>
            </w:tcBorders>
            <w:shd w:val="clear" w:color="auto" w:fill="auto"/>
          </w:tcPr>
          <w:p w14:paraId="26AFF8C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144" w:type="dxa"/>
            <w:tcBorders>
              <w:top w:val="single" w:sz="4" w:space="0" w:color="7F7F7F"/>
              <w:left w:val="single" w:sz="4" w:space="0" w:color="7F7F7F"/>
              <w:bottom w:val="single" w:sz="4" w:space="0" w:color="7F7F7F"/>
              <w:right w:val="single" w:sz="4" w:space="0" w:color="7F7F7F"/>
            </w:tcBorders>
            <w:shd w:val="clear" w:color="auto" w:fill="auto"/>
          </w:tcPr>
          <w:p w14:paraId="47E7B00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241" w:type="dxa"/>
            <w:tcBorders>
              <w:top w:val="single" w:sz="4" w:space="0" w:color="7F7F7F"/>
              <w:left w:val="single" w:sz="4" w:space="0" w:color="7F7F7F"/>
              <w:bottom w:val="single" w:sz="4" w:space="0" w:color="7F7F7F"/>
              <w:right w:val="single" w:sz="4" w:space="0" w:color="7F7F7F"/>
            </w:tcBorders>
            <w:shd w:val="clear" w:color="auto" w:fill="auto"/>
          </w:tcPr>
          <w:p w14:paraId="1E59C0A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24C1A62C" w14:textId="77777777" w:rsidTr="003B74CE">
        <w:trPr>
          <w:trHeight w:val="346"/>
        </w:trPr>
        <w:tc>
          <w:tcPr>
            <w:tcW w:w="1568" w:type="dxa"/>
            <w:tcBorders>
              <w:left w:val="single" w:sz="4" w:space="0" w:color="7F7F7F"/>
              <w:right w:val="single" w:sz="4" w:space="0" w:color="7F7F7F"/>
            </w:tcBorders>
            <w:shd w:val="clear" w:color="auto" w:fill="auto"/>
          </w:tcPr>
          <w:p w14:paraId="1B10A9E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w:t>
            </w:r>
          </w:p>
        </w:tc>
        <w:tc>
          <w:tcPr>
            <w:tcW w:w="3144" w:type="dxa"/>
            <w:tcBorders>
              <w:left w:val="single" w:sz="4" w:space="0" w:color="7F7F7F"/>
              <w:right w:val="single" w:sz="4" w:space="0" w:color="7F7F7F"/>
            </w:tcBorders>
            <w:shd w:val="clear" w:color="auto" w:fill="auto"/>
          </w:tcPr>
          <w:p w14:paraId="6953A59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24</w:t>
            </w:r>
          </w:p>
        </w:tc>
        <w:tc>
          <w:tcPr>
            <w:tcW w:w="4241" w:type="dxa"/>
            <w:tcBorders>
              <w:left w:val="single" w:sz="4" w:space="0" w:color="7F7F7F"/>
              <w:right w:val="single" w:sz="4" w:space="0" w:color="7F7F7F"/>
            </w:tcBorders>
            <w:shd w:val="clear" w:color="auto" w:fill="auto"/>
          </w:tcPr>
          <w:p w14:paraId="4903758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249090</w:t>
            </w:r>
          </w:p>
        </w:tc>
      </w:tr>
      <w:tr w:rsidR="00CD459A" w:rsidRPr="00CD459A" w14:paraId="124DD524" w14:textId="77777777" w:rsidTr="003B74CE">
        <w:trPr>
          <w:trHeight w:val="346"/>
        </w:trPr>
        <w:tc>
          <w:tcPr>
            <w:tcW w:w="1568" w:type="dxa"/>
            <w:tcBorders>
              <w:top w:val="single" w:sz="4" w:space="0" w:color="7F7F7F"/>
              <w:left w:val="single" w:sz="4" w:space="0" w:color="7F7F7F"/>
              <w:bottom w:val="single" w:sz="4" w:space="0" w:color="7F7F7F"/>
              <w:right w:val="single" w:sz="4" w:space="0" w:color="7F7F7F"/>
            </w:tcBorders>
            <w:shd w:val="clear" w:color="auto" w:fill="auto"/>
          </w:tcPr>
          <w:p w14:paraId="3410BAC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PASIVOS</w:t>
            </w:r>
          </w:p>
        </w:tc>
        <w:tc>
          <w:tcPr>
            <w:tcW w:w="3144" w:type="dxa"/>
            <w:tcBorders>
              <w:top w:val="single" w:sz="4" w:space="0" w:color="7F7F7F"/>
              <w:left w:val="single" w:sz="4" w:space="0" w:color="7F7F7F"/>
              <w:bottom w:val="single" w:sz="4" w:space="0" w:color="7F7F7F"/>
              <w:right w:val="single" w:sz="4" w:space="0" w:color="7F7F7F"/>
            </w:tcBorders>
            <w:shd w:val="clear" w:color="auto" w:fill="auto"/>
          </w:tcPr>
          <w:p w14:paraId="00DB3BF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POR PAGAR</w:t>
            </w:r>
          </w:p>
        </w:tc>
        <w:tc>
          <w:tcPr>
            <w:tcW w:w="4241" w:type="dxa"/>
            <w:tcBorders>
              <w:top w:val="single" w:sz="4" w:space="0" w:color="7F7F7F"/>
              <w:left w:val="single" w:sz="4" w:space="0" w:color="7F7F7F"/>
              <w:bottom w:val="single" w:sz="4" w:space="0" w:color="7F7F7F"/>
              <w:right w:val="single" w:sz="4" w:space="0" w:color="7F7F7F"/>
            </w:tcBorders>
            <w:shd w:val="clear" w:color="auto" w:fill="auto"/>
          </w:tcPr>
          <w:p w14:paraId="759939D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OTRAS CUENTAS POR PAGAR</w:t>
            </w:r>
          </w:p>
        </w:tc>
      </w:tr>
    </w:tbl>
    <w:p w14:paraId="4EF67CDA" w14:textId="77777777" w:rsidR="007C7EF4" w:rsidRPr="00CD459A" w:rsidRDefault="007C7EF4" w:rsidP="007C7EF4">
      <w:pPr>
        <w:suppressLineNumbers/>
        <w:tabs>
          <w:tab w:val="left" w:pos="-720"/>
        </w:tabs>
        <w:ind w:left="284" w:hanging="284"/>
        <w:jc w:val="both"/>
        <w:rPr>
          <w:rFonts w:ascii="Verdana" w:hAnsi="Verdana" w:cs="Arial"/>
        </w:rPr>
      </w:pPr>
    </w:p>
    <w:p w14:paraId="6120889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591C544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de las demás obligaciones que tenga el Sistema General de Regalías, que no estén clasificadas en las demás cuentas y que tenga las características para ser reconocidas como un pasivo. En condiciones normales, el valor más representativo que se muestra en esta cuenta corresponde a descuentos a los valores incluidos en la “instrucción de abono a cuenta” a las entidades beneficiarias de regalías, realizados por orden del Departamento Nacional de Planeación cuyo beneficiario es el Fondo Nacional de Regalías, la Agencia Nacional de Minería o la Agencia Nacional de Hidrocarburos, por Regalias que fueron giradas en exceso antes del año 2012 cuando operaba el sistema de regalías anterior.</w:t>
      </w:r>
    </w:p>
    <w:p w14:paraId="2EDAB1DD" w14:textId="77777777" w:rsidR="007C7EF4" w:rsidRPr="00CD459A" w:rsidRDefault="007C7EF4" w:rsidP="007C7EF4">
      <w:pPr>
        <w:suppressLineNumbers/>
        <w:tabs>
          <w:tab w:val="left" w:pos="-720"/>
        </w:tabs>
        <w:ind w:left="284" w:hanging="284"/>
        <w:jc w:val="both"/>
        <w:rPr>
          <w:rFonts w:ascii="Verdana" w:hAnsi="Verdana" w:cs="Arial"/>
        </w:rPr>
      </w:pPr>
    </w:p>
    <w:p w14:paraId="16E6455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F5CB0A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Estas operaciones se registran por el valor en pesos que se debe desembolsar para extinguir la obligación, y se desafectan pro el valor en pesos o su equivalente que se desembolsa para extinguir o abonar al pago de la obligación. Los descuentos que ordena el DNP a favor de las agencias o el FNR se registra por el valor que ordena descontar el DNP en la Instrucción de Abono a cuenta y se desafecta con el valor girado por este concepto al Fondo Nacional de Regalías o a las Agencias.</w:t>
      </w:r>
    </w:p>
    <w:p w14:paraId="31F285D6" w14:textId="77777777" w:rsidR="007C7EF4" w:rsidRPr="00CD459A" w:rsidRDefault="007C7EF4" w:rsidP="007C7EF4">
      <w:pPr>
        <w:suppressLineNumbers/>
        <w:tabs>
          <w:tab w:val="left" w:pos="-720"/>
        </w:tabs>
        <w:ind w:left="284" w:hanging="284"/>
        <w:jc w:val="both"/>
        <w:rPr>
          <w:rFonts w:ascii="Verdana" w:hAnsi="Verdana" w:cs="Arial"/>
        </w:rPr>
      </w:pPr>
    </w:p>
    <w:p w14:paraId="400523E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5B5808D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5B57BFCC" w14:textId="77777777" w:rsidR="007C7EF4" w:rsidRPr="00CD459A" w:rsidRDefault="007C7EF4" w:rsidP="007C7EF4">
      <w:pPr>
        <w:suppressLineNumbers/>
        <w:tabs>
          <w:tab w:val="left" w:pos="-720"/>
        </w:tabs>
        <w:jc w:val="both"/>
        <w:rPr>
          <w:rFonts w:ascii="Verdana" w:hAnsi="Verdana" w:cs="Arial"/>
        </w:rPr>
      </w:pPr>
    </w:p>
    <w:p w14:paraId="5065EEF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354D0FF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contable se detalla por la Entidad Beneficiaria del giro, su saldo aumenta con el valor informado en la Instrucción de Abono en cuenta, por los descuentos ordenados a las Entidades Territoriales.</w:t>
      </w:r>
    </w:p>
    <w:p w14:paraId="686AE4ED" w14:textId="77777777" w:rsidR="007C7EF4" w:rsidRPr="00CD459A" w:rsidRDefault="007C7EF4" w:rsidP="007C7EF4">
      <w:pPr>
        <w:suppressLineNumbers/>
        <w:tabs>
          <w:tab w:val="left" w:pos="-720"/>
        </w:tabs>
        <w:ind w:left="284" w:hanging="284"/>
        <w:jc w:val="both"/>
        <w:rPr>
          <w:rFonts w:ascii="Verdana" w:hAnsi="Verdana" w:cs="Arial"/>
        </w:rPr>
      </w:pPr>
    </w:p>
    <w:p w14:paraId="67DD42A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31C52FE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cuenta se revela discriminado por el tercero beneficiario de la obligación, es decir a quien se debe girar los recursos.</w:t>
      </w:r>
    </w:p>
    <w:p w14:paraId="74CC9280" w14:textId="77777777" w:rsidR="007C7EF4" w:rsidRPr="00CD459A" w:rsidRDefault="007C7EF4" w:rsidP="007C7EF4">
      <w:pPr>
        <w:suppressLineNumbers/>
        <w:tabs>
          <w:tab w:val="left" w:pos="-720"/>
        </w:tabs>
        <w:ind w:left="284" w:hanging="284"/>
        <w:jc w:val="both"/>
        <w:rPr>
          <w:rFonts w:ascii="Verdana" w:hAnsi="Verdana" w:cs="Arial"/>
        </w:rPr>
      </w:pPr>
    </w:p>
    <w:p w14:paraId="671D3EE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803B87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71C90ADE" w14:textId="77777777" w:rsidR="007C7EF4" w:rsidRPr="00CD459A" w:rsidRDefault="007C7EF4" w:rsidP="007C7EF4">
      <w:pPr>
        <w:suppressLineNumbers/>
        <w:tabs>
          <w:tab w:val="left" w:pos="-720"/>
        </w:tabs>
        <w:ind w:left="284" w:hanging="284"/>
        <w:jc w:val="both"/>
        <w:rPr>
          <w:rFonts w:ascii="Verdana" w:hAnsi="Verdana" w:cs="Arial"/>
        </w:rPr>
      </w:pPr>
    </w:p>
    <w:p w14:paraId="48B2CBBA" w14:textId="77777777" w:rsidR="007C7EF4" w:rsidRDefault="007C7EF4" w:rsidP="00AB3D96">
      <w:pPr>
        <w:pStyle w:val="Prrafodelista"/>
        <w:numPr>
          <w:ilvl w:val="0"/>
          <w:numId w:val="86"/>
        </w:numPr>
        <w:suppressLineNumbers/>
        <w:tabs>
          <w:tab w:val="left" w:pos="-720"/>
        </w:tabs>
        <w:spacing w:line="240" w:lineRule="auto"/>
        <w:jc w:val="both"/>
        <w:rPr>
          <w:rFonts w:ascii="Verdana" w:hAnsi="Verdana" w:cs="Arial"/>
        </w:rPr>
      </w:pPr>
      <w:r w:rsidRPr="00CD459A">
        <w:rPr>
          <w:rFonts w:ascii="Verdana" w:hAnsi="Verdana" w:cs="Arial"/>
        </w:rPr>
        <w:t>El valor de los giros realizados a los beneficiarios de las obligaciones que tiene el Sistema General de Regalías por este concepto, con crédito a la subcuenta 114001 – Cuenta Única Sistema General de Regalías.</w:t>
      </w:r>
    </w:p>
    <w:p w14:paraId="68751D52"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p w14:paraId="0DD1E37E" w14:textId="71597458" w:rsidR="007C7EF4" w:rsidRPr="00CD459A" w:rsidRDefault="007C7EF4" w:rsidP="00355F8E">
      <w:pPr>
        <w:suppressLineNumbers/>
        <w:tabs>
          <w:tab w:val="left" w:pos="-720"/>
        </w:tabs>
        <w:ind w:left="284" w:hanging="284"/>
        <w:jc w:val="both"/>
        <w:rPr>
          <w:rFonts w:ascii="Verdana" w:hAnsi="Verdana" w:cs="Arial"/>
        </w:rPr>
      </w:pPr>
      <w:r w:rsidRPr="00CD459A">
        <w:rPr>
          <w:rFonts w:ascii="Verdana" w:hAnsi="Verdana" w:cs="Arial"/>
        </w:rPr>
        <w:t>SE ACREDITA CON:</w:t>
      </w:r>
    </w:p>
    <w:p w14:paraId="48110E59" w14:textId="77777777" w:rsidR="007C7EF4" w:rsidRPr="00CD459A" w:rsidRDefault="007C7EF4" w:rsidP="00AB3D96">
      <w:pPr>
        <w:pStyle w:val="Prrafodelista"/>
        <w:numPr>
          <w:ilvl w:val="0"/>
          <w:numId w:val="86"/>
        </w:numPr>
        <w:suppressLineNumbers/>
        <w:tabs>
          <w:tab w:val="left" w:pos="-720"/>
        </w:tabs>
        <w:spacing w:line="240" w:lineRule="auto"/>
        <w:jc w:val="both"/>
        <w:rPr>
          <w:rFonts w:ascii="Verdana" w:hAnsi="Verdana" w:cs="Arial"/>
        </w:rPr>
      </w:pPr>
      <w:r w:rsidRPr="00CD459A">
        <w:rPr>
          <w:rFonts w:ascii="Verdana" w:hAnsi="Verdana" w:cs="Arial"/>
        </w:rPr>
        <w:t>El valor en pesos que representa la obligación del Sistema general de Regalías y que no está configurado en los demás pasivos, con debito a la subcuenta que identifica el concepto de la operación que origina el pasivo.</w:t>
      </w:r>
    </w:p>
    <w:p w14:paraId="5160414D" w14:textId="77777777" w:rsidR="007C7EF4" w:rsidRPr="00CD459A" w:rsidRDefault="007C7EF4" w:rsidP="007C7EF4">
      <w:pPr>
        <w:pStyle w:val="Prrafodelista"/>
        <w:suppressLineNumbers/>
        <w:tabs>
          <w:tab w:val="left" w:pos="-720"/>
        </w:tabs>
        <w:jc w:val="both"/>
        <w:rPr>
          <w:rFonts w:ascii="Verdana" w:hAnsi="Verdana" w:cs="Arial"/>
        </w:rPr>
      </w:pPr>
    </w:p>
    <w:p w14:paraId="74B6000F"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b/>
          <w:color w:val="auto"/>
          <w:sz w:val="22"/>
          <w:szCs w:val="22"/>
        </w:rPr>
      </w:pPr>
      <w:bookmarkStart w:id="784" w:name="_Toc62483988"/>
      <w:bookmarkStart w:id="785" w:name="_Toc94710274"/>
      <w:r w:rsidRPr="00CD459A">
        <w:rPr>
          <w:rFonts w:ascii="Verdana" w:hAnsi="Verdana" w:cs="Arial"/>
          <w:b/>
          <w:color w:val="auto"/>
          <w:sz w:val="22"/>
          <w:szCs w:val="22"/>
        </w:rPr>
        <w:t>PATRIMONIO</w:t>
      </w:r>
      <w:bookmarkEnd w:id="784"/>
      <w:bookmarkEnd w:id="785"/>
      <w:r w:rsidRPr="00CD459A">
        <w:rPr>
          <w:rFonts w:ascii="Verdana" w:hAnsi="Verdana" w:cs="Arial"/>
          <w:b/>
          <w:color w:val="auto"/>
          <w:sz w:val="22"/>
          <w:szCs w:val="22"/>
        </w:rPr>
        <w:t xml:space="preserve">  </w:t>
      </w:r>
    </w:p>
    <w:p w14:paraId="052D3E88" w14:textId="77777777" w:rsidR="007C7EF4" w:rsidRPr="00CD459A" w:rsidRDefault="007C7EF4" w:rsidP="007C7EF4">
      <w:pPr>
        <w:spacing w:before="6"/>
        <w:jc w:val="both"/>
        <w:rPr>
          <w:rFonts w:ascii="Verdana" w:hAnsi="Verdana" w:cs="Arial"/>
        </w:rPr>
      </w:pPr>
    </w:p>
    <w:tbl>
      <w:tblPr>
        <w:tblW w:w="8874" w:type="dxa"/>
        <w:tblInd w:w="177" w:type="dxa"/>
        <w:tblLayout w:type="fixed"/>
        <w:tblCellMar>
          <w:left w:w="0" w:type="dxa"/>
          <w:right w:w="0" w:type="dxa"/>
        </w:tblCellMar>
        <w:tblLook w:val="01E0" w:firstRow="1" w:lastRow="1" w:firstColumn="1" w:lastColumn="1" w:noHBand="0" w:noVBand="0"/>
      </w:tblPr>
      <w:tblGrid>
        <w:gridCol w:w="1985"/>
        <w:gridCol w:w="3404"/>
        <w:gridCol w:w="3485"/>
      </w:tblGrid>
      <w:tr w:rsidR="00CD459A" w:rsidRPr="00CD459A" w14:paraId="1BD4D881" w14:textId="77777777" w:rsidTr="003B74CE">
        <w:trPr>
          <w:trHeight w:hRule="exact" w:val="495"/>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3C49D48"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18D29DA3" w14:textId="77777777" w:rsidR="007C7EF4" w:rsidRPr="00CD459A" w:rsidRDefault="007C7EF4" w:rsidP="003B74CE">
            <w:pPr>
              <w:pStyle w:val="TableParagraph"/>
              <w:spacing w:before="81"/>
              <w:ind w:right="1369"/>
              <w:jc w:val="center"/>
              <w:rPr>
                <w:rFonts w:ascii="Verdana" w:hAnsi="Verdana" w:cs="Arial"/>
                <w:b/>
                <w:bCs/>
              </w:rPr>
            </w:pPr>
            <w:r w:rsidRPr="00CD459A">
              <w:rPr>
                <w:rFonts w:ascii="Verdana" w:hAnsi="Verdana" w:cs="Arial"/>
                <w:b/>
                <w:bCs/>
              </w:rPr>
              <w:t>GRUPO</w:t>
            </w: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62F63ED2" w14:textId="77777777" w:rsidR="007C7EF4" w:rsidRPr="00CD459A" w:rsidRDefault="007C7EF4" w:rsidP="003B74CE">
            <w:pPr>
              <w:pStyle w:val="TableParagraph"/>
              <w:spacing w:before="81"/>
              <w:ind w:right="1372"/>
              <w:jc w:val="center"/>
              <w:rPr>
                <w:rFonts w:ascii="Verdana" w:hAnsi="Verdana" w:cs="Arial"/>
                <w:b/>
                <w:bCs/>
              </w:rPr>
            </w:pPr>
            <w:r w:rsidRPr="00CD459A">
              <w:rPr>
                <w:rFonts w:ascii="Verdana" w:hAnsi="Verdana" w:cs="Arial"/>
                <w:b/>
                <w:bCs/>
              </w:rPr>
              <w:t>CUENTA</w:t>
            </w:r>
          </w:p>
        </w:tc>
      </w:tr>
      <w:tr w:rsidR="00CD459A" w:rsidRPr="00CD459A" w14:paraId="49D23D7C"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F829B03"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6081AD3C"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69DFCD42" w14:textId="77777777" w:rsidR="007C7EF4" w:rsidRPr="00CD459A" w:rsidRDefault="007C7EF4" w:rsidP="003B74CE">
            <w:pPr>
              <w:jc w:val="both"/>
              <w:rPr>
                <w:rFonts w:ascii="Verdana" w:hAnsi="Verdana" w:cs="Arial"/>
              </w:rPr>
            </w:pPr>
          </w:p>
        </w:tc>
      </w:tr>
      <w:tr w:rsidR="00CD459A" w:rsidRPr="00CD459A" w14:paraId="218C062B"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218D9617" w14:textId="77777777" w:rsidR="007C7EF4" w:rsidRPr="00CD459A" w:rsidRDefault="007C7EF4" w:rsidP="003B74CE">
            <w:pPr>
              <w:pStyle w:val="TableParagraph"/>
              <w:spacing w:before="81"/>
              <w:ind w:left="103" w:right="83"/>
              <w:jc w:val="both"/>
              <w:rPr>
                <w:rFonts w:ascii="Verdana" w:hAnsi="Verdana" w:cs="Arial"/>
              </w:rPr>
            </w:pPr>
            <w:bookmarkStart w:id="786" w:name="_bookmark4"/>
            <w:bookmarkEnd w:id="786"/>
            <w:r w:rsidRPr="00CD459A">
              <w:rPr>
                <w:rFonts w:ascii="Verdana" w:hAnsi="Verdana" w:cs="Arial"/>
              </w:rPr>
              <w:t>PATRIMONIO</w:t>
            </w:r>
          </w:p>
        </w:tc>
        <w:tc>
          <w:tcPr>
            <w:tcW w:w="3404" w:type="dxa"/>
            <w:tcBorders>
              <w:top w:val="single" w:sz="4" w:space="0" w:color="000000"/>
              <w:left w:val="single" w:sz="4" w:space="0" w:color="000000"/>
              <w:bottom w:val="single" w:sz="4" w:space="0" w:color="000000"/>
              <w:right w:val="single" w:sz="4" w:space="0" w:color="000000"/>
            </w:tcBorders>
            <w:shd w:val="clear" w:color="auto" w:fill="auto"/>
          </w:tcPr>
          <w:p w14:paraId="4FC3B43D"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21E677BB" w14:textId="77777777" w:rsidR="007C7EF4" w:rsidRPr="00CD459A" w:rsidRDefault="007C7EF4" w:rsidP="003B74CE">
            <w:pPr>
              <w:jc w:val="both"/>
              <w:rPr>
                <w:rFonts w:ascii="Verdana" w:hAnsi="Verdana" w:cs="Arial"/>
              </w:rPr>
            </w:pPr>
          </w:p>
        </w:tc>
      </w:tr>
    </w:tbl>
    <w:p w14:paraId="13D5732B" w14:textId="77777777" w:rsidR="007C7EF4" w:rsidRPr="00CD459A" w:rsidRDefault="007C7EF4" w:rsidP="007C7EF4">
      <w:pPr>
        <w:jc w:val="both"/>
        <w:rPr>
          <w:rFonts w:ascii="Verdana" w:hAnsi="Verdana" w:cs="Arial"/>
        </w:rPr>
      </w:pPr>
    </w:p>
    <w:p w14:paraId="410C49B5" w14:textId="745B65B3" w:rsidR="007C7EF4" w:rsidRPr="00355F8E" w:rsidRDefault="007C7EF4" w:rsidP="00355F8E">
      <w:pPr>
        <w:suppressLineNumbers/>
        <w:tabs>
          <w:tab w:val="left" w:pos="-720"/>
        </w:tabs>
        <w:ind w:left="284" w:hanging="284"/>
        <w:jc w:val="both"/>
        <w:rPr>
          <w:rFonts w:ascii="Verdana" w:hAnsi="Verdana" w:cs="Arial"/>
        </w:rPr>
      </w:pPr>
      <w:r w:rsidRPr="00CD459A">
        <w:rPr>
          <w:rFonts w:ascii="Verdana" w:hAnsi="Verdana" w:cs="Arial"/>
        </w:rPr>
        <w:t>DESCRIPCIÓN</w:t>
      </w:r>
    </w:p>
    <w:p w14:paraId="0F7479F3" w14:textId="77777777" w:rsidR="007C7EF4" w:rsidRPr="00CD459A" w:rsidRDefault="007C7EF4" w:rsidP="007C7EF4">
      <w:pPr>
        <w:pStyle w:val="Textoindependiente"/>
        <w:ind w:right="196"/>
        <w:rPr>
          <w:rFonts w:ascii="Verdana" w:hAnsi="Verdana" w:cs="Arial"/>
          <w:sz w:val="22"/>
          <w:szCs w:val="22"/>
        </w:rPr>
      </w:pPr>
      <w:r w:rsidRPr="00CD459A">
        <w:rPr>
          <w:rFonts w:ascii="Verdana" w:hAnsi="Verdana" w:cs="Arial"/>
          <w:sz w:val="22"/>
          <w:szCs w:val="22"/>
        </w:rPr>
        <w:t>En esta denominación, se incluyen los grupos de cuentas que representan los bienes y derechos, deducidas las obligaciones, de las entidades que conforman el sector público. Las cuentas que integran esta clase son de naturaleza</w:t>
      </w:r>
      <w:r w:rsidRPr="00CD459A">
        <w:rPr>
          <w:rFonts w:ascii="Verdana" w:hAnsi="Verdana" w:cs="Arial"/>
          <w:spacing w:val="-9"/>
          <w:sz w:val="22"/>
          <w:szCs w:val="22"/>
        </w:rPr>
        <w:t xml:space="preserve"> </w:t>
      </w:r>
      <w:r w:rsidRPr="00CD459A">
        <w:rPr>
          <w:rFonts w:ascii="Verdana" w:hAnsi="Verdana" w:cs="Arial"/>
          <w:sz w:val="22"/>
          <w:szCs w:val="22"/>
        </w:rPr>
        <w:t>crédito.</w:t>
      </w:r>
    </w:p>
    <w:p w14:paraId="027726EA" w14:textId="77777777" w:rsidR="007C7EF4" w:rsidRPr="00CD459A" w:rsidRDefault="007C7EF4" w:rsidP="007C7EF4">
      <w:pPr>
        <w:spacing w:before="2"/>
        <w:jc w:val="both"/>
        <w:rPr>
          <w:rFonts w:ascii="Verdana" w:hAnsi="Verdana" w:cs="Arial"/>
        </w:rPr>
      </w:pPr>
    </w:p>
    <w:tbl>
      <w:tblPr>
        <w:tblW w:w="9266" w:type="dxa"/>
        <w:tblInd w:w="177" w:type="dxa"/>
        <w:tblLayout w:type="fixed"/>
        <w:tblCellMar>
          <w:left w:w="0" w:type="dxa"/>
          <w:right w:w="0" w:type="dxa"/>
        </w:tblCellMar>
        <w:tblLook w:val="01E0" w:firstRow="1" w:lastRow="1" w:firstColumn="1" w:lastColumn="1" w:noHBand="0" w:noVBand="0"/>
      </w:tblPr>
      <w:tblGrid>
        <w:gridCol w:w="2005"/>
        <w:gridCol w:w="3538"/>
        <w:gridCol w:w="3723"/>
      </w:tblGrid>
      <w:tr w:rsidR="00CD459A" w:rsidRPr="00CD459A" w14:paraId="572B0BD2" w14:textId="77777777" w:rsidTr="003B74CE">
        <w:trPr>
          <w:trHeight w:hRule="exact" w:val="362"/>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301C84FF" w14:textId="77777777" w:rsidR="007C7EF4" w:rsidRPr="00CD459A" w:rsidRDefault="007C7EF4" w:rsidP="003B74CE">
            <w:pPr>
              <w:pStyle w:val="TableParagraph"/>
              <w:spacing w:before="81"/>
              <w:ind w:right="719"/>
              <w:jc w:val="center"/>
              <w:rPr>
                <w:rFonts w:ascii="Verdana" w:hAnsi="Verdana" w:cs="Arial"/>
                <w:b/>
                <w:bCs/>
              </w:rPr>
            </w:pPr>
            <w:r w:rsidRPr="00CD459A">
              <w:rPr>
                <w:rFonts w:ascii="Verdana" w:hAnsi="Verdana" w:cs="Arial"/>
                <w:b/>
                <w:bCs/>
              </w:rPr>
              <w:t>CLASE</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14:paraId="51270800" w14:textId="77777777" w:rsidR="007C7EF4" w:rsidRPr="00CD459A" w:rsidRDefault="007C7EF4" w:rsidP="003B74CE">
            <w:pPr>
              <w:pStyle w:val="TableParagraph"/>
              <w:spacing w:before="81"/>
              <w:ind w:right="1368"/>
              <w:jc w:val="center"/>
              <w:rPr>
                <w:rFonts w:ascii="Verdana" w:hAnsi="Verdana" w:cs="Arial"/>
                <w:b/>
                <w:bCs/>
              </w:rPr>
            </w:pPr>
            <w:r w:rsidRPr="00CD459A">
              <w:rPr>
                <w:rFonts w:ascii="Verdana" w:hAnsi="Verdana" w:cs="Arial"/>
                <w:b/>
                <w:bCs/>
              </w:rPr>
              <w:t>GRUPO</w:t>
            </w:r>
          </w:p>
        </w:tc>
        <w:tc>
          <w:tcPr>
            <w:tcW w:w="3723" w:type="dxa"/>
            <w:tcBorders>
              <w:top w:val="single" w:sz="4" w:space="0" w:color="000000"/>
              <w:left w:val="single" w:sz="4" w:space="0" w:color="000000"/>
              <w:bottom w:val="single" w:sz="4" w:space="0" w:color="000000"/>
              <w:right w:val="single" w:sz="4" w:space="0" w:color="000000"/>
            </w:tcBorders>
            <w:shd w:val="clear" w:color="auto" w:fill="auto"/>
          </w:tcPr>
          <w:p w14:paraId="616ABEEA" w14:textId="77777777" w:rsidR="007C7EF4" w:rsidRPr="00CD459A" w:rsidRDefault="007C7EF4" w:rsidP="003B74CE">
            <w:pPr>
              <w:pStyle w:val="TableParagraph"/>
              <w:spacing w:before="81"/>
              <w:ind w:left="1319" w:right="1372"/>
              <w:jc w:val="center"/>
              <w:rPr>
                <w:rFonts w:ascii="Verdana" w:hAnsi="Verdana" w:cs="Arial"/>
                <w:b/>
                <w:bCs/>
              </w:rPr>
            </w:pPr>
            <w:r w:rsidRPr="00CD459A">
              <w:rPr>
                <w:rFonts w:ascii="Verdana" w:hAnsi="Verdana" w:cs="Arial"/>
                <w:b/>
                <w:bCs/>
              </w:rPr>
              <w:t>CUENTA</w:t>
            </w:r>
          </w:p>
        </w:tc>
      </w:tr>
      <w:tr w:rsidR="00CD459A" w:rsidRPr="00CD459A" w14:paraId="43191BB2" w14:textId="77777777" w:rsidTr="003B74CE">
        <w:trPr>
          <w:trHeight w:hRule="exact" w:val="363"/>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297157F3"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14:paraId="7C47C4E3"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rPr>
              <w:t>31</w:t>
            </w:r>
          </w:p>
        </w:tc>
        <w:tc>
          <w:tcPr>
            <w:tcW w:w="3723" w:type="dxa"/>
            <w:tcBorders>
              <w:top w:val="single" w:sz="4" w:space="0" w:color="000000"/>
              <w:left w:val="single" w:sz="4" w:space="0" w:color="000000"/>
              <w:bottom w:val="single" w:sz="4" w:space="0" w:color="000000"/>
              <w:right w:val="single" w:sz="4" w:space="0" w:color="000000"/>
            </w:tcBorders>
            <w:shd w:val="clear" w:color="auto" w:fill="auto"/>
          </w:tcPr>
          <w:p w14:paraId="685940D5" w14:textId="77777777" w:rsidR="007C7EF4" w:rsidRPr="00CD459A" w:rsidRDefault="007C7EF4" w:rsidP="003B74CE">
            <w:pPr>
              <w:jc w:val="both"/>
              <w:rPr>
                <w:rFonts w:ascii="Verdana" w:hAnsi="Verdana" w:cs="Arial"/>
              </w:rPr>
            </w:pPr>
          </w:p>
        </w:tc>
      </w:tr>
      <w:tr w:rsidR="00CD459A" w:rsidRPr="00CD459A" w14:paraId="40577C1E" w14:textId="77777777" w:rsidTr="003B74CE">
        <w:trPr>
          <w:trHeight w:hRule="exact" w:val="558"/>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35486038" w14:textId="77777777" w:rsidR="007C7EF4" w:rsidRPr="00CD459A" w:rsidRDefault="007C7EF4" w:rsidP="003B74CE">
            <w:pPr>
              <w:pStyle w:val="TableParagraph"/>
              <w:spacing w:before="82"/>
              <w:ind w:left="103" w:right="83"/>
              <w:jc w:val="both"/>
              <w:rPr>
                <w:rFonts w:ascii="Verdana" w:hAnsi="Verdana" w:cs="Arial"/>
              </w:rPr>
            </w:pPr>
            <w:r w:rsidRPr="00CD459A">
              <w:rPr>
                <w:rFonts w:ascii="Verdana" w:hAnsi="Verdana" w:cs="Arial"/>
              </w:rPr>
              <w:t>PATRIMONIO</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14:paraId="34A0150B" w14:textId="77777777" w:rsidR="007C7EF4" w:rsidRPr="00CD459A" w:rsidRDefault="007C7EF4" w:rsidP="003B74CE">
            <w:pPr>
              <w:pStyle w:val="TableParagraph"/>
              <w:spacing w:before="81"/>
              <w:ind w:left="103" w:right="277"/>
              <w:jc w:val="both"/>
              <w:rPr>
                <w:rFonts w:ascii="Verdana" w:hAnsi="Verdana" w:cs="Arial"/>
                <w:lang w:val="es-CO"/>
              </w:rPr>
            </w:pPr>
            <w:r w:rsidRPr="00CD459A">
              <w:rPr>
                <w:rFonts w:ascii="Verdana" w:hAnsi="Verdana" w:cs="Arial"/>
                <w:lang w:val="es-CO"/>
              </w:rPr>
              <w:t>PATRIMONIO DE LAS ENTIDADES DE</w:t>
            </w:r>
            <w:r w:rsidRPr="00CD459A">
              <w:rPr>
                <w:rFonts w:ascii="Verdana" w:hAnsi="Verdana" w:cs="Arial"/>
                <w:spacing w:val="-4"/>
                <w:lang w:val="es-CO"/>
              </w:rPr>
              <w:t xml:space="preserve"> </w:t>
            </w:r>
            <w:r w:rsidRPr="00CD459A">
              <w:rPr>
                <w:rFonts w:ascii="Verdana" w:hAnsi="Verdana" w:cs="Arial"/>
                <w:lang w:val="es-CO"/>
              </w:rPr>
              <w:t>GOBIERNO</w:t>
            </w:r>
          </w:p>
        </w:tc>
        <w:tc>
          <w:tcPr>
            <w:tcW w:w="3723" w:type="dxa"/>
            <w:tcBorders>
              <w:top w:val="single" w:sz="4" w:space="0" w:color="000000"/>
              <w:left w:val="single" w:sz="4" w:space="0" w:color="000000"/>
              <w:bottom w:val="single" w:sz="4" w:space="0" w:color="000000"/>
              <w:right w:val="single" w:sz="4" w:space="0" w:color="000000"/>
            </w:tcBorders>
            <w:shd w:val="clear" w:color="auto" w:fill="auto"/>
          </w:tcPr>
          <w:p w14:paraId="7C541285" w14:textId="77777777" w:rsidR="007C7EF4" w:rsidRPr="00CD459A" w:rsidRDefault="007C7EF4" w:rsidP="003B74CE">
            <w:pPr>
              <w:jc w:val="both"/>
              <w:rPr>
                <w:rFonts w:ascii="Verdana" w:hAnsi="Verdana" w:cs="Arial"/>
              </w:rPr>
            </w:pPr>
          </w:p>
        </w:tc>
      </w:tr>
    </w:tbl>
    <w:p w14:paraId="774151DA" w14:textId="77777777" w:rsidR="007C7EF4" w:rsidRPr="00CD459A" w:rsidRDefault="007C7EF4" w:rsidP="007C7EF4">
      <w:pPr>
        <w:spacing w:before="2"/>
        <w:jc w:val="both"/>
        <w:rPr>
          <w:rFonts w:ascii="Verdana" w:hAnsi="Verdana" w:cs="Arial"/>
        </w:rPr>
      </w:pPr>
    </w:p>
    <w:p w14:paraId="0C3EF1F9" w14:textId="3546B35A" w:rsidR="007C7EF4" w:rsidRPr="00355F8E" w:rsidRDefault="007C7EF4" w:rsidP="00355F8E">
      <w:pPr>
        <w:suppressLineNumbers/>
        <w:tabs>
          <w:tab w:val="left" w:pos="-720"/>
        </w:tabs>
        <w:ind w:left="284" w:hanging="284"/>
        <w:jc w:val="both"/>
        <w:rPr>
          <w:rFonts w:ascii="Verdana" w:hAnsi="Verdana" w:cs="Arial"/>
        </w:rPr>
      </w:pPr>
      <w:r w:rsidRPr="00CD459A">
        <w:rPr>
          <w:rFonts w:ascii="Verdana" w:hAnsi="Verdana" w:cs="Arial"/>
        </w:rPr>
        <w:t>DESCRIPCIÓN</w:t>
      </w:r>
    </w:p>
    <w:p w14:paraId="65D5A7EF" w14:textId="77777777" w:rsidR="007C7EF4" w:rsidRPr="00CD459A" w:rsidRDefault="007C7EF4" w:rsidP="007C7EF4">
      <w:pPr>
        <w:pStyle w:val="Textoindependiente"/>
        <w:ind w:right="97"/>
        <w:rPr>
          <w:rFonts w:ascii="Verdana" w:hAnsi="Verdana" w:cs="Arial"/>
          <w:sz w:val="22"/>
          <w:szCs w:val="22"/>
        </w:rPr>
      </w:pPr>
      <w:r w:rsidRPr="00CD459A">
        <w:rPr>
          <w:rFonts w:ascii="Verdana" w:hAnsi="Verdana" w:cs="Arial"/>
          <w:sz w:val="22"/>
          <w:szCs w:val="22"/>
        </w:rPr>
        <w:t>En esta denominación se incluyen las cuentas que representan los recursos aportados para la creación y desarrollo de las entidades del sector central de los niveles nacional y territorial.</w:t>
      </w:r>
    </w:p>
    <w:p w14:paraId="0245C7F7" w14:textId="20FD6CE1" w:rsidR="007C7EF4" w:rsidRPr="00CD459A" w:rsidRDefault="007C7EF4" w:rsidP="00355F8E">
      <w:pPr>
        <w:pStyle w:val="Textoindependiente"/>
        <w:spacing w:before="197"/>
        <w:ind w:right="269"/>
        <w:rPr>
          <w:rFonts w:ascii="Verdana" w:hAnsi="Verdana" w:cs="Arial"/>
          <w:sz w:val="22"/>
          <w:szCs w:val="22"/>
        </w:rPr>
      </w:pPr>
      <w:r w:rsidRPr="00CD459A">
        <w:rPr>
          <w:rFonts w:ascii="Verdana" w:hAnsi="Verdana" w:cs="Arial"/>
          <w:sz w:val="22"/>
          <w:szCs w:val="22"/>
        </w:rPr>
        <w:t>También incluye los resultados acumulados, el capital de los fondos de reservas de pensiones, el capital de los fondos parafiscales, entre</w:t>
      </w:r>
      <w:r w:rsidRPr="00CD459A">
        <w:rPr>
          <w:rFonts w:ascii="Verdana" w:hAnsi="Verdana" w:cs="Arial"/>
          <w:spacing w:val="-16"/>
          <w:sz w:val="22"/>
          <w:szCs w:val="22"/>
        </w:rPr>
        <w:t xml:space="preserve"> </w:t>
      </w:r>
      <w:r w:rsidRPr="00CD459A">
        <w:rPr>
          <w:rFonts w:ascii="Verdana" w:hAnsi="Verdana" w:cs="Arial"/>
          <w:sz w:val="22"/>
          <w:szCs w:val="22"/>
        </w:rPr>
        <w:t>otras.</w:t>
      </w:r>
    </w:p>
    <w:p w14:paraId="4A14F684" w14:textId="77777777" w:rsidR="007C7EF4" w:rsidRPr="00CD459A" w:rsidRDefault="007C7EF4" w:rsidP="007C7EF4">
      <w:pPr>
        <w:spacing w:before="2"/>
        <w:jc w:val="both"/>
        <w:rPr>
          <w:rFonts w:ascii="Verdana" w:hAnsi="Verdana" w:cs="Arial"/>
        </w:rPr>
      </w:pPr>
    </w:p>
    <w:tbl>
      <w:tblPr>
        <w:tblW w:w="8977" w:type="dxa"/>
        <w:tblInd w:w="177" w:type="dxa"/>
        <w:tblLayout w:type="fixed"/>
        <w:tblCellMar>
          <w:left w:w="0" w:type="dxa"/>
          <w:right w:w="0" w:type="dxa"/>
        </w:tblCellMar>
        <w:tblLook w:val="01E0" w:firstRow="1" w:lastRow="1" w:firstColumn="1" w:lastColumn="1" w:noHBand="0" w:noVBand="0"/>
      </w:tblPr>
      <w:tblGrid>
        <w:gridCol w:w="2008"/>
        <w:gridCol w:w="3444"/>
        <w:gridCol w:w="3525"/>
      </w:tblGrid>
      <w:tr w:rsidR="00CD459A" w:rsidRPr="00CD459A" w14:paraId="1CEC2DEA" w14:textId="77777777" w:rsidTr="003B74CE">
        <w:trPr>
          <w:trHeight w:hRule="exact" w:val="553"/>
        </w:trPr>
        <w:tc>
          <w:tcPr>
            <w:tcW w:w="2008" w:type="dxa"/>
            <w:tcBorders>
              <w:top w:val="single" w:sz="4" w:space="0" w:color="000000"/>
              <w:left w:val="single" w:sz="4" w:space="0" w:color="000000"/>
              <w:bottom w:val="single" w:sz="4" w:space="0" w:color="000000"/>
              <w:right w:val="single" w:sz="4" w:space="0" w:color="000000"/>
            </w:tcBorders>
            <w:shd w:val="clear" w:color="auto" w:fill="auto"/>
          </w:tcPr>
          <w:p w14:paraId="2142111B" w14:textId="77777777" w:rsidR="007C7EF4" w:rsidRPr="00CD459A" w:rsidRDefault="007C7EF4" w:rsidP="003B74CE">
            <w:pPr>
              <w:pStyle w:val="TableParagraph"/>
              <w:spacing w:before="83"/>
              <w:ind w:right="719"/>
              <w:jc w:val="right"/>
              <w:rPr>
                <w:rFonts w:ascii="Verdana" w:hAnsi="Verdana" w:cs="Arial"/>
                <w:b/>
                <w:bCs/>
              </w:rPr>
            </w:pPr>
            <w:r w:rsidRPr="00CD459A">
              <w:rPr>
                <w:rFonts w:ascii="Verdana" w:hAnsi="Verdana" w:cs="Arial"/>
                <w:b/>
                <w:bCs/>
              </w:rPr>
              <w:t>CLASE</w:t>
            </w:r>
          </w:p>
        </w:tc>
        <w:tc>
          <w:tcPr>
            <w:tcW w:w="3444" w:type="dxa"/>
            <w:tcBorders>
              <w:top w:val="single" w:sz="4" w:space="0" w:color="000000"/>
              <w:left w:val="single" w:sz="4" w:space="0" w:color="000000"/>
              <w:bottom w:val="single" w:sz="4" w:space="0" w:color="000000"/>
              <w:right w:val="single" w:sz="4" w:space="0" w:color="000000"/>
            </w:tcBorders>
            <w:shd w:val="clear" w:color="auto" w:fill="auto"/>
          </w:tcPr>
          <w:p w14:paraId="7E96F98B" w14:textId="77777777" w:rsidR="007C7EF4" w:rsidRPr="00CD459A" w:rsidRDefault="007C7EF4" w:rsidP="003B74CE">
            <w:pPr>
              <w:pStyle w:val="TableParagraph"/>
              <w:spacing w:before="83"/>
              <w:ind w:right="1369"/>
              <w:jc w:val="right"/>
              <w:rPr>
                <w:rFonts w:ascii="Verdana" w:hAnsi="Verdana" w:cs="Arial"/>
                <w:b/>
                <w:bCs/>
              </w:rPr>
            </w:pPr>
            <w:r w:rsidRPr="00CD459A">
              <w:rPr>
                <w:rFonts w:ascii="Verdana" w:hAnsi="Verdana" w:cs="Arial"/>
                <w:b/>
                <w:bCs/>
              </w:rPr>
              <w:t>GRUPO</w:t>
            </w:r>
          </w:p>
        </w:tc>
        <w:tc>
          <w:tcPr>
            <w:tcW w:w="3525" w:type="dxa"/>
            <w:tcBorders>
              <w:top w:val="single" w:sz="4" w:space="0" w:color="000000"/>
              <w:left w:val="single" w:sz="4" w:space="0" w:color="000000"/>
              <w:bottom w:val="single" w:sz="4" w:space="0" w:color="000000"/>
              <w:right w:val="single" w:sz="4" w:space="0" w:color="000000"/>
            </w:tcBorders>
            <w:shd w:val="clear" w:color="auto" w:fill="auto"/>
          </w:tcPr>
          <w:p w14:paraId="00F0474E" w14:textId="77777777" w:rsidR="007C7EF4" w:rsidRPr="00CD459A" w:rsidRDefault="007C7EF4" w:rsidP="003B74CE">
            <w:pPr>
              <w:pStyle w:val="TableParagraph"/>
              <w:spacing w:before="83"/>
              <w:ind w:right="1370"/>
              <w:jc w:val="right"/>
              <w:rPr>
                <w:rFonts w:ascii="Verdana" w:hAnsi="Verdana" w:cs="Arial"/>
                <w:b/>
                <w:bCs/>
              </w:rPr>
            </w:pPr>
            <w:r w:rsidRPr="00CD459A">
              <w:rPr>
                <w:rFonts w:ascii="Verdana" w:hAnsi="Verdana" w:cs="Arial"/>
                <w:b/>
                <w:bCs/>
              </w:rPr>
              <w:t>CUENTA</w:t>
            </w:r>
          </w:p>
        </w:tc>
      </w:tr>
      <w:tr w:rsidR="00CD459A" w:rsidRPr="00CD459A" w14:paraId="55AA9C43" w14:textId="77777777" w:rsidTr="003B74CE">
        <w:trPr>
          <w:trHeight w:hRule="exact" w:val="555"/>
        </w:trPr>
        <w:tc>
          <w:tcPr>
            <w:tcW w:w="2008" w:type="dxa"/>
            <w:tcBorders>
              <w:top w:val="single" w:sz="4" w:space="0" w:color="000000"/>
              <w:left w:val="single" w:sz="4" w:space="0" w:color="000000"/>
              <w:bottom w:val="single" w:sz="4" w:space="0" w:color="000000"/>
              <w:right w:val="single" w:sz="4" w:space="0" w:color="000000"/>
            </w:tcBorders>
            <w:shd w:val="clear" w:color="auto" w:fill="auto"/>
          </w:tcPr>
          <w:p w14:paraId="2BAA34CA" w14:textId="77777777" w:rsidR="007C7EF4" w:rsidRPr="00CD459A" w:rsidRDefault="007C7EF4" w:rsidP="003B74CE">
            <w:pPr>
              <w:pStyle w:val="TableParagraph"/>
              <w:spacing w:before="83"/>
              <w:ind w:left="103"/>
              <w:jc w:val="both"/>
              <w:rPr>
                <w:rFonts w:ascii="Verdana" w:hAnsi="Verdana" w:cs="Arial"/>
              </w:rPr>
            </w:pPr>
            <w:r w:rsidRPr="00CD459A">
              <w:rPr>
                <w:rFonts w:ascii="Verdana" w:hAnsi="Verdana" w:cs="Arial"/>
              </w:rPr>
              <w:t>3</w:t>
            </w:r>
          </w:p>
        </w:tc>
        <w:tc>
          <w:tcPr>
            <w:tcW w:w="3444" w:type="dxa"/>
            <w:tcBorders>
              <w:top w:val="single" w:sz="4" w:space="0" w:color="000000"/>
              <w:left w:val="single" w:sz="4" w:space="0" w:color="000000"/>
              <w:bottom w:val="single" w:sz="4" w:space="0" w:color="000000"/>
              <w:right w:val="single" w:sz="4" w:space="0" w:color="000000"/>
            </w:tcBorders>
            <w:shd w:val="clear" w:color="auto" w:fill="auto"/>
          </w:tcPr>
          <w:p w14:paraId="3BB7F300" w14:textId="77777777" w:rsidR="007C7EF4" w:rsidRPr="00CD459A" w:rsidRDefault="007C7EF4" w:rsidP="003B74CE">
            <w:pPr>
              <w:pStyle w:val="TableParagraph"/>
              <w:spacing w:before="83"/>
              <w:ind w:left="103" w:right="626"/>
              <w:jc w:val="both"/>
              <w:rPr>
                <w:rFonts w:ascii="Verdana" w:hAnsi="Verdana" w:cs="Arial"/>
              </w:rPr>
            </w:pPr>
            <w:r w:rsidRPr="00CD459A">
              <w:rPr>
                <w:rFonts w:ascii="Verdana" w:hAnsi="Verdana" w:cs="Arial"/>
              </w:rPr>
              <w:t>31</w:t>
            </w:r>
          </w:p>
        </w:tc>
        <w:tc>
          <w:tcPr>
            <w:tcW w:w="3525" w:type="dxa"/>
            <w:tcBorders>
              <w:top w:val="single" w:sz="4" w:space="0" w:color="000000"/>
              <w:left w:val="single" w:sz="4" w:space="0" w:color="000000"/>
              <w:bottom w:val="single" w:sz="4" w:space="0" w:color="000000"/>
              <w:right w:val="single" w:sz="4" w:space="0" w:color="000000"/>
            </w:tcBorders>
            <w:shd w:val="clear" w:color="auto" w:fill="auto"/>
          </w:tcPr>
          <w:p w14:paraId="1AF21F61" w14:textId="77777777" w:rsidR="007C7EF4" w:rsidRPr="00CD459A" w:rsidRDefault="007C7EF4" w:rsidP="003B74CE">
            <w:pPr>
              <w:pStyle w:val="TableParagraph"/>
              <w:spacing w:before="83"/>
              <w:ind w:left="100" w:right="568"/>
              <w:jc w:val="both"/>
              <w:rPr>
                <w:rFonts w:ascii="Verdana" w:hAnsi="Verdana" w:cs="Arial"/>
              </w:rPr>
            </w:pPr>
            <w:r w:rsidRPr="00CD459A">
              <w:rPr>
                <w:rFonts w:ascii="Verdana" w:hAnsi="Verdana" w:cs="Arial"/>
              </w:rPr>
              <w:t>310506</w:t>
            </w:r>
          </w:p>
        </w:tc>
      </w:tr>
      <w:tr w:rsidR="00CD459A" w:rsidRPr="00CD459A" w14:paraId="01A9BBC4" w14:textId="77777777" w:rsidTr="003B74CE">
        <w:trPr>
          <w:trHeight w:hRule="exact" w:val="855"/>
        </w:trPr>
        <w:tc>
          <w:tcPr>
            <w:tcW w:w="2008" w:type="dxa"/>
            <w:tcBorders>
              <w:top w:val="single" w:sz="4" w:space="0" w:color="000000"/>
              <w:left w:val="single" w:sz="4" w:space="0" w:color="000000"/>
              <w:bottom w:val="single" w:sz="4" w:space="0" w:color="000000"/>
              <w:right w:val="single" w:sz="4" w:space="0" w:color="000000"/>
            </w:tcBorders>
            <w:shd w:val="clear" w:color="auto" w:fill="auto"/>
          </w:tcPr>
          <w:p w14:paraId="0D398FE2" w14:textId="77777777" w:rsidR="007C7EF4" w:rsidRPr="00CD459A" w:rsidRDefault="007C7EF4" w:rsidP="003B74CE">
            <w:pPr>
              <w:pStyle w:val="TableParagraph"/>
              <w:spacing w:before="82"/>
              <w:ind w:left="103" w:right="83"/>
              <w:jc w:val="both"/>
              <w:rPr>
                <w:rFonts w:ascii="Verdana" w:hAnsi="Verdana" w:cs="Arial"/>
              </w:rPr>
            </w:pPr>
            <w:r w:rsidRPr="00CD459A">
              <w:rPr>
                <w:rFonts w:ascii="Verdana" w:hAnsi="Verdana" w:cs="Arial"/>
              </w:rPr>
              <w:t>PATRIMONIO</w:t>
            </w:r>
          </w:p>
        </w:tc>
        <w:tc>
          <w:tcPr>
            <w:tcW w:w="3444" w:type="dxa"/>
            <w:tcBorders>
              <w:top w:val="single" w:sz="4" w:space="0" w:color="000000"/>
              <w:left w:val="single" w:sz="4" w:space="0" w:color="000000"/>
              <w:bottom w:val="single" w:sz="4" w:space="0" w:color="000000"/>
              <w:right w:val="single" w:sz="4" w:space="0" w:color="000000"/>
            </w:tcBorders>
            <w:shd w:val="clear" w:color="auto" w:fill="auto"/>
          </w:tcPr>
          <w:p w14:paraId="745186E6" w14:textId="77777777" w:rsidR="007C7EF4" w:rsidRPr="00CD459A" w:rsidRDefault="007C7EF4" w:rsidP="003B74CE">
            <w:pPr>
              <w:pStyle w:val="TableParagraph"/>
              <w:spacing w:before="81"/>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525" w:type="dxa"/>
            <w:tcBorders>
              <w:top w:val="single" w:sz="4" w:space="0" w:color="000000"/>
              <w:left w:val="single" w:sz="4" w:space="0" w:color="000000"/>
              <w:bottom w:val="single" w:sz="4" w:space="0" w:color="000000"/>
              <w:right w:val="single" w:sz="4" w:space="0" w:color="000000"/>
            </w:tcBorders>
            <w:shd w:val="clear" w:color="auto" w:fill="auto"/>
          </w:tcPr>
          <w:p w14:paraId="76B10F6D" w14:textId="77777777" w:rsidR="007C7EF4" w:rsidRPr="00CD459A" w:rsidRDefault="007C7EF4" w:rsidP="003B74CE">
            <w:pPr>
              <w:pStyle w:val="TableParagraph"/>
              <w:spacing w:before="82"/>
              <w:ind w:left="100" w:right="568"/>
              <w:jc w:val="both"/>
              <w:rPr>
                <w:rFonts w:ascii="Verdana" w:hAnsi="Verdana" w:cs="Arial"/>
              </w:rPr>
            </w:pPr>
            <w:r w:rsidRPr="00CD459A">
              <w:rPr>
                <w:rFonts w:ascii="Verdana" w:hAnsi="Verdana" w:cs="Arial"/>
              </w:rPr>
              <w:t>SISTEMA GENERAL DE REGALÍAS</w:t>
            </w:r>
          </w:p>
        </w:tc>
      </w:tr>
    </w:tbl>
    <w:p w14:paraId="679508B8" w14:textId="77777777" w:rsidR="007C7EF4" w:rsidRPr="00CD459A" w:rsidRDefault="007C7EF4" w:rsidP="007C7EF4">
      <w:pPr>
        <w:jc w:val="both"/>
        <w:rPr>
          <w:rFonts w:ascii="Verdana" w:hAnsi="Verdana" w:cs="Arial"/>
        </w:rPr>
      </w:pPr>
    </w:p>
    <w:p w14:paraId="50BD41AD" w14:textId="3D7A8998" w:rsidR="007C7EF4" w:rsidRPr="00355F8E" w:rsidRDefault="007C7EF4" w:rsidP="00355F8E">
      <w:pPr>
        <w:autoSpaceDE w:val="0"/>
        <w:autoSpaceDN w:val="0"/>
        <w:adjustRightInd w:val="0"/>
        <w:jc w:val="both"/>
        <w:rPr>
          <w:rFonts w:ascii="Verdana" w:hAnsi="Verdana" w:cs="Arial"/>
          <w:lang w:val="es-ES_tradnl"/>
        </w:rPr>
      </w:pPr>
      <w:r w:rsidRPr="00CD459A">
        <w:rPr>
          <w:rFonts w:ascii="Verdana" w:hAnsi="Verdana" w:cs="Arial"/>
          <w:lang w:val="es-ES_tradnl"/>
        </w:rPr>
        <w:t>DESCRIPCIÓN</w:t>
      </w:r>
    </w:p>
    <w:p w14:paraId="078D7347" w14:textId="77777777" w:rsidR="007C7EF4" w:rsidRPr="00CD459A" w:rsidRDefault="007C7EF4" w:rsidP="007C7EF4">
      <w:pPr>
        <w:pStyle w:val="Textoindependiente"/>
        <w:ind w:right="269"/>
        <w:rPr>
          <w:rFonts w:ascii="Verdana" w:hAnsi="Verdana" w:cs="Arial"/>
          <w:sz w:val="22"/>
          <w:szCs w:val="22"/>
          <w:lang w:val="es-ES_tradnl"/>
        </w:rPr>
      </w:pPr>
      <w:r w:rsidRPr="00CD459A">
        <w:rPr>
          <w:rFonts w:ascii="Verdana" w:hAnsi="Verdana" w:cs="Arial"/>
          <w:sz w:val="22"/>
          <w:szCs w:val="22"/>
          <w:lang w:val="es-ES_tradnl"/>
        </w:rPr>
        <w:t>El saldo de esta cuenta representa los valores que fueron reconocidos como ingreso contable desde el año 2012 que no han sido distribuidos, más los valores distribuidos que no fueron no girados, más los ingresos que no representan flujo de recursos como la valorización del FAE; al cierre de cada periodo fiscal estos valores constituyen la utilidad que pasa a formar parte del Excedente del ejercicio y luego al capital fiscal.</w:t>
      </w:r>
    </w:p>
    <w:p w14:paraId="588C0DB5" w14:textId="77777777" w:rsidR="007C7EF4" w:rsidRPr="00CD459A" w:rsidRDefault="007C7EF4" w:rsidP="007C7EF4">
      <w:pPr>
        <w:spacing w:before="11"/>
        <w:jc w:val="both"/>
        <w:rPr>
          <w:rFonts w:ascii="Verdana" w:hAnsi="Verdana" w:cs="Arial"/>
          <w:lang w:val="es-ES_tradnl"/>
        </w:rPr>
      </w:pPr>
    </w:p>
    <w:p w14:paraId="09E2D837" w14:textId="28180B69"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5E8D7E2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Inicialmente se reconoció en esta cuenta, como ajuste de convergencia con fecha 1 de enero de 2018, el saldo que reflejaba la subcuenta 310505- Capital Fiscal del Sistema General de Regalías a diciembre 31 de 2017. Al inicio de cada vigencia fiscal se traslada el resultado del ejercicio del año inmediatamente anterior.</w:t>
      </w:r>
    </w:p>
    <w:p w14:paraId="752CDB7B" w14:textId="77777777" w:rsidR="007C7EF4" w:rsidRPr="00CD459A" w:rsidRDefault="007C7EF4" w:rsidP="007C7EF4">
      <w:pPr>
        <w:autoSpaceDE w:val="0"/>
        <w:autoSpaceDN w:val="0"/>
        <w:adjustRightInd w:val="0"/>
        <w:jc w:val="both"/>
        <w:rPr>
          <w:rFonts w:ascii="Verdana" w:hAnsi="Verdana" w:cs="Arial"/>
          <w:lang w:val="es-ES_tradnl"/>
        </w:rPr>
      </w:pPr>
    </w:p>
    <w:p w14:paraId="1F092AED" w14:textId="24C80296"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1EC50E64" w14:textId="53DF6B91" w:rsidR="007C7EF4" w:rsidRDefault="007C7EF4" w:rsidP="007C7EF4">
      <w:pPr>
        <w:spacing w:before="11"/>
        <w:jc w:val="both"/>
        <w:rPr>
          <w:rFonts w:ascii="Verdana" w:hAnsi="Verdana" w:cs="Arial"/>
          <w:lang w:val="es-ES_tradnl"/>
        </w:rPr>
      </w:pPr>
      <w:r w:rsidRPr="00CD459A">
        <w:rPr>
          <w:rFonts w:ascii="Verdana" w:hAnsi="Verdana" w:cs="Arial"/>
          <w:lang w:val="es-ES_tradnl"/>
        </w:rPr>
        <w:t>De esta subcuenta se revela el valor de la utilidad o perdida que dio como resultado coda uno de los ejercicios fiscales cuya sumatoria soportan el saldo de esta subcuenta.</w:t>
      </w:r>
    </w:p>
    <w:p w14:paraId="3CA1C324" w14:textId="77777777" w:rsidR="00355F8E" w:rsidRPr="00355F8E" w:rsidRDefault="00355F8E" w:rsidP="007C7EF4">
      <w:pPr>
        <w:spacing w:before="11"/>
        <w:jc w:val="both"/>
        <w:rPr>
          <w:rFonts w:ascii="Verdana" w:hAnsi="Verdana" w:cs="Arial"/>
          <w:lang w:val="es-ES_tradnl"/>
        </w:rPr>
      </w:pPr>
    </w:p>
    <w:p w14:paraId="08C5DF82"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DINÁMICA</w:t>
      </w:r>
    </w:p>
    <w:p w14:paraId="2A1C3527" w14:textId="77777777" w:rsidR="007C7EF4" w:rsidRPr="00CD459A" w:rsidRDefault="007C7EF4" w:rsidP="007C7EF4">
      <w:pPr>
        <w:spacing w:before="1"/>
        <w:jc w:val="both"/>
        <w:rPr>
          <w:rFonts w:ascii="Verdana" w:hAnsi="Verdana" w:cs="Arial"/>
          <w:lang w:val="es-ES_tradnl"/>
        </w:rPr>
      </w:pPr>
    </w:p>
    <w:p w14:paraId="209C7E2D" w14:textId="5603339A" w:rsidR="007C7EF4" w:rsidRPr="00355F8E" w:rsidRDefault="007C7EF4" w:rsidP="00355F8E">
      <w:pPr>
        <w:ind w:left="182" w:right="269"/>
        <w:jc w:val="both"/>
        <w:rPr>
          <w:rFonts w:ascii="Verdana" w:hAnsi="Verdana" w:cs="Arial"/>
          <w:lang w:val="es-ES_tradnl"/>
        </w:rPr>
      </w:pPr>
      <w:r w:rsidRPr="00CD459A">
        <w:rPr>
          <w:rFonts w:ascii="Verdana" w:hAnsi="Verdana" w:cs="Arial"/>
          <w:lang w:val="es-ES_tradnl"/>
        </w:rPr>
        <w:t>SE DEBITA CON:</w:t>
      </w:r>
    </w:p>
    <w:p w14:paraId="2EA13D72" w14:textId="77777777" w:rsidR="007C7EF4" w:rsidRPr="00CD459A" w:rsidRDefault="007C7EF4" w:rsidP="00AB3D96">
      <w:pPr>
        <w:pStyle w:val="Prrafodelista"/>
        <w:widowControl w:val="0"/>
        <w:numPr>
          <w:ilvl w:val="0"/>
          <w:numId w:val="42"/>
        </w:numPr>
        <w:tabs>
          <w:tab w:val="left" w:pos="545"/>
        </w:tabs>
        <w:spacing w:after="0" w:line="240" w:lineRule="auto"/>
        <w:contextualSpacing w:val="0"/>
        <w:jc w:val="both"/>
        <w:rPr>
          <w:rFonts w:ascii="Verdana" w:hAnsi="Verdana" w:cs="Arial"/>
        </w:rPr>
      </w:pPr>
      <w:r w:rsidRPr="00CD459A">
        <w:rPr>
          <w:rFonts w:ascii="Verdana" w:hAnsi="Verdana" w:cs="Arial"/>
        </w:rPr>
        <w:t>El valor de la pérdida o déficit del ejercicio inmediatamente anterior, con debito a la subcuenta 311002 – Pérdida o Déficit del ejercicio.</w:t>
      </w:r>
    </w:p>
    <w:p w14:paraId="7ABF019F" w14:textId="77777777" w:rsidR="007C7EF4" w:rsidRPr="00CD459A" w:rsidRDefault="007C7EF4" w:rsidP="007C7EF4">
      <w:pPr>
        <w:suppressLineNumbers/>
        <w:tabs>
          <w:tab w:val="left" w:pos="-720"/>
        </w:tabs>
        <w:ind w:left="284" w:hanging="284"/>
        <w:jc w:val="both"/>
        <w:rPr>
          <w:rFonts w:ascii="Verdana" w:hAnsi="Verdana" w:cs="Arial"/>
        </w:rPr>
      </w:pPr>
    </w:p>
    <w:p w14:paraId="1134A9EF" w14:textId="4A59118D" w:rsidR="007C7EF4" w:rsidRPr="00CD459A" w:rsidRDefault="007C7EF4" w:rsidP="00355F8E">
      <w:pPr>
        <w:ind w:left="182" w:right="269"/>
        <w:jc w:val="both"/>
        <w:rPr>
          <w:rFonts w:ascii="Verdana" w:hAnsi="Verdana" w:cs="Arial"/>
          <w:lang w:val="es-ES_tradnl"/>
        </w:rPr>
      </w:pPr>
      <w:r w:rsidRPr="00CD459A">
        <w:rPr>
          <w:rFonts w:ascii="Verdana" w:hAnsi="Verdana" w:cs="Arial"/>
          <w:lang w:val="es-ES_tradnl"/>
        </w:rPr>
        <w:t>SE ACREDITA CON:</w:t>
      </w:r>
    </w:p>
    <w:p w14:paraId="2C67DFA3" w14:textId="77777777" w:rsidR="007C7EF4" w:rsidRPr="00CD459A" w:rsidRDefault="007C7EF4" w:rsidP="00AB3D96">
      <w:pPr>
        <w:pStyle w:val="Prrafodelista"/>
        <w:numPr>
          <w:ilvl w:val="0"/>
          <w:numId w:val="43"/>
        </w:numPr>
        <w:spacing w:line="240" w:lineRule="auto"/>
        <w:ind w:right="269"/>
        <w:jc w:val="both"/>
        <w:rPr>
          <w:rFonts w:ascii="Verdana" w:hAnsi="Verdana" w:cs="Arial"/>
        </w:rPr>
      </w:pPr>
      <w:r w:rsidRPr="00CD459A">
        <w:rPr>
          <w:rFonts w:ascii="Verdana" w:hAnsi="Verdana" w:cs="Arial"/>
          <w:bCs/>
        </w:rPr>
        <w:t>El saldo del</w:t>
      </w:r>
      <w:r w:rsidRPr="00CD459A">
        <w:rPr>
          <w:rFonts w:ascii="Verdana" w:hAnsi="Verdana" w:cs="Arial"/>
          <w:lang w:val="es-ES_tradnl"/>
        </w:rPr>
        <w:t xml:space="preserve"> Capital Fiscal del Sistema General de Regalías a diciembre 31 de 2017, que corresponde a las utilidades acumuladas, con debito a</w:t>
      </w:r>
      <w:r w:rsidRPr="00CD459A">
        <w:rPr>
          <w:rFonts w:ascii="Verdana" w:hAnsi="Verdana" w:cs="Arial"/>
          <w:bCs/>
        </w:rPr>
        <w:t xml:space="preserve"> la subcuenta </w:t>
      </w:r>
      <w:r w:rsidRPr="00CD459A">
        <w:rPr>
          <w:rFonts w:ascii="Verdana" w:hAnsi="Verdana" w:cs="Arial"/>
          <w:lang w:val="es-ES_tradnl"/>
        </w:rPr>
        <w:t>310505- Capital Fiscal del Sistema General de Regalías.</w:t>
      </w:r>
    </w:p>
    <w:p w14:paraId="27FB3154" w14:textId="77777777" w:rsidR="007C7EF4" w:rsidRPr="00CD459A" w:rsidRDefault="007C7EF4" w:rsidP="00AB3D96">
      <w:pPr>
        <w:pStyle w:val="Prrafodelista"/>
        <w:numPr>
          <w:ilvl w:val="0"/>
          <w:numId w:val="43"/>
        </w:numPr>
        <w:spacing w:line="240" w:lineRule="auto"/>
        <w:ind w:right="269"/>
        <w:jc w:val="both"/>
        <w:rPr>
          <w:rFonts w:ascii="Verdana" w:hAnsi="Verdana" w:cs="Arial"/>
        </w:rPr>
      </w:pPr>
      <w:r w:rsidRPr="00CD459A">
        <w:rPr>
          <w:rFonts w:ascii="Verdana" w:hAnsi="Verdana" w:cs="Arial"/>
        </w:rPr>
        <w:t>El valor de la utilidad o superávit del ejercicio inmediatamente anterior, con crédito a la subcuenta 311001 – Utilidad o Excedente del ejercicio.</w:t>
      </w:r>
    </w:p>
    <w:p w14:paraId="2915F4B2" w14:textId="77777777" w:rsidR="00355F8E" w:rsidRPr="00CD459A" w:rsidRDefault="00355F8E" w:rsidP="007C7EF4">
      <w:pPr>
        <w:pStyle w:val="Prrafodelista"/>
        <w:ind w:left="544"/>
        <w:jc w:val="both"/>
        <w:rPr>
          <w:rFonts w:ascii="Verdana" w:hAnsi="Verdana" w:cs="Arial"/>
        </w:rPr>
      </w:pPr>
    </w:p>
    <w:tbl>
      <w:tblPr>
        <w:tblW w:w="8962" w:type="dxa"/>
        <w:tblInd w:w="-5" w:type="dxa"/>
        <w:tblLayout w:type="fixed"/>
        <w:tblCellMar>
          <w:left w:w="0" w:type="dxa"/>
          <w:right w:w="0" w:type="dxa"/>
        </w:tblCellMar>
        <w:tblLook w:val="01E0" w:firstRow="1" w:lastRow="1" w:firstColumn="1" w:lastColumn="1" w:noHBand="0" w:noVBand="0"/>
      </w:tblPr>
      <w:tblGrid>
        <w:gridCol w:w="2005"/>
        <w:gridCol w:w="3438"/>
        <w:gridCol w:w="3519"/>
      </w:tblGrid>
      <w:tr w:rsidR="00CD459A" w:rsidRPr="00CD459A" w14:paraId="3032AA02" w14:textId="77777777" w:rsidTr="003B74CE">
        <w:trPr>
          <w:trHeight w:hRule="exact" w:val="438"/>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6CB1C65B" w14:textId="77777777" w:rsidR="007C7EF4" w:rsidRPr="00CD459A" w:rsidRDefault="007C7EF4" w:rsidP="003B74CE">
            <w:pPr>
              <w:pStyle w:val="TableParagraph"/>
              <w:spacing w:before="81"/>
              <w:ind w:right="719"/>
              <w:jc w:val="right"/>
              <w:rPr>
                <w:rFonts w:ascii="Verdana" w:hAnsi="Verdana" w:cs="Arial"/>
                <w:b/>
                <w:bCs/>
              </w:rPr>
            </w:pPr>
            <w:r w:rsidRPr="00CD459A">
              <w:rPr>
                <w:rFonts w:ascii="Verdana" w:hAnsi="Verdana" w:cs="Arial"/>
                <w:b/>
                <w:bCs/>
              </w:rPr>
              <w:t>CLASE</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7B138CD6" w14:textId="77777777" w:rsidR="007C7EF4" w:rsidRPr="00CD459A" w:rsidRDefault="007C7EF4" w:rsidP="003B74CE">
            <w:pPr>
              <w:pStyle w:val="TableParagraph"/>
              <w:spacing w:before="81"/>
              <w:ind w:right="1369"/>
              <w:jc w:val="right"/>
              <w:rPr>
                <w:rFonts w:ascii="Verdana" w:hAnsi="Verdana" w:cs="Arial"/>
                <w:b/>
                <w:bCs/>
              </w:rPr>
            </w:pPr>
            <w:r w:rsidRPr="00CD459A">
              <w:rPr>
                <w:rFonts w:ascii="Verdana" w:hAnsi="Verdana" w:cs="Arial"/>
                <w:b/>
                <w:bCs/>
              </w:rPr>
              <w:t>GRUPO</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380EF0A5" w14:textId="77777777" w:rsidR="007C7EF4" w:rsidRPr="00CD459A" w:rsidRDefault="007C7EF4" w:rsidP="003B74CE">
            <w:pPr>
              <w:pStyle w:val="TableParagraph"/>
              <w:spacing w:before="81"/>
              <w:ind w:right="1370"/>
              <w:jc w:val="right"/>
              <w:rPr>
                <w:rFonts w:ascii="Verdana" w:hAnsi="Verdana" w:cs="Arial"/>
                <w:b/>
                <w:bCs/>
              </w:rPr>
            </w:pPr>
            <w:r w:rsidRPr="00CD459A">
              <w:rPr>
                <w:rFonts w:ascii="Verdana" w:hAnsi="Verdana" w:cs="Arial"/>
                <w:b/>
                <w:bCs/>
              </w:rPr>
              <w:t>CUENTA</w:t>
            </w:r>
          </w:p>
        </w:tc>
      </w:tr>
      <w:tr w:rsidR="00CD459A" w:rsidRPr="00CD459A" w14:paraId="1B6A360C" w14:textId="77777777" w:rsidTr="003B74CE">
        <w:trPr>
          <w:trHeight w:hRule="exact" w:val="430"/>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22B0CDD1"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73D4A284"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31</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3F6B88C1"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311001</w:t>
            </w:r>
          </w:p>
        </w:tc>
      </w:tr>
      <w:tr w:rsidR="00CD459A" w:rsidRPr="00CD459A" w14:paraId="1EDBDAC1" w14:textId="77777777" w:rsidTr="003B74CE">
        <w:trPr>
          <w:trHeight w:hRule="exact" w:val="855"/>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54A82D58"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PATRIMONIO</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52E071A5" w14:textId="77777777" w:rsidR="007C7EF4" w:rsidRPr="00CD459A" w:rsidRDefault="007C7EF4" w:rsidP="003B74CE">
            <w:pPr>
              <w:pStyle w:val="TableParagraph"/>
              <w:spacing w:before="80"/>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07749745" w14:textId="77777777" w:rsidR="007C7EF4" w:rsidRPr="00CD459A" w:rsidRDefault="007C7EF4" w:rsidP="003B74CE">
            <w:pPr>
              <w:pStyle w:val="TableParagraph"/>
              <w:spacing w:before="81"/>
              <w:ind w:left="100" w:right="568"/>
              <w:jc w:val="both"/>
              <w:rPr>
                <w:rFonts w:ascii="Verdana" w:hAnsi="Verdana" w:cs="Arial"/>
                <w:lang w:val="es-CO"/>
              </w:rPr>
            </w:pPr>
            <w:r w:rsidRPr="00CD459A">
              <w:rPr>
                <w:rFonts w:ascii="Verdana" w:hAnsi="Verdana" w:cs="Arial"/>
                <w:lang w:val="es-CO"/>
              </w:rPr>
              <w:t>UTILIDAD O EXCEDENTE DEL EJERCICIO</w:t>
            </w:r>
          </w:p>
        </w:tc>
      </w:tr>
    </w:tbl>
    <w:p w14:paraId="7363E9CA" w14:textId="77777777" w:rsidR="007C7EF4" w:rsidRPr="00CD459A" w:rsidRDefault="007C7EF4" w:rsidP="007C7EF4">
      <w:pPr>
        <w:spacing w:before="2"/>
        <w:ind w:left="188"/>
        <w:jc w:val="both"/>
        <w:rPr>
          <w:rFonts w:ascii="Verdana" w:hAnsi="Verdana" w:cs="Arial"/>
        </w:rPr>
      </w:pPr>
    </w:p>
    <w:p w14:paraId="5B0CD5C1" w14:textId="77777777" w:rsidR="007C7EF4" w:rsidRPr="00CD459A" w:rsidRDefault="007C7EF4" w:rsidP="007C7EF4">
      <w:pPr>
        <w:jc w:val="both"/>
        <w:rPr>
          <w:rFonts w:ascii="Verdana" w:hAnsi="Verdana" w:cs="Arial"/>
        </w:rPr>
      </w:pPr>
      <w:r w:rsidRPr="00CD459A">
        <w:rPr>
          <w:rFonts w:ascii="Verdana" w:hAnsi="Verdana" w:cs="Arial"/>
        </w:rPr>
        <w:t>DESCRIPCIÓN</w:t>
      </w:r>
    </w:p>
    <w:p w14:paraId="0F9F5CEB" w14:textId="77777777" w:rsidR="007C7EF4" w:rsidRDefault="007C7EF4" w:rsidP="007C7EF4">
      <w:pPr>
        <w:pStyle w:val="Textoindependiente"/>
        <w:ind w:right="269"/>
        <w:rPr>
          <w:rFonts w:ascii="Verdana" w:hAnsi="Verdana" w:cs="Arial"/>
          <w:sz w:val="22"/>
          <w:szCs w:val="22"/>
        </w:rPr>
      </w:pPr>
      <w:r w:rsidRPr="00CD459A">
        <w:rPr>
          <w:rFonts w:ascii="Verdana" w:hAnsi="Verdana" w:cs="Arial"/>
          <w:sz w:val="22"/>
          <w:szCs w:val="22"/>
        </w:rPr>
        <w:t>Representa el valor de la utilidad obtenida por el Sistema General de Regalías, como consecuencia de las operaciones realizadas durante el periodo</w:t>
      </w:r>
      <w:r w:rsidRPr="00CD459A">
        <w:rPr>
          <w:rFonts w:ascii="Verdana" w:hAnsi="Verdana" w:cs="Arial"/>
          <w:spacing w:val="-9"/>
          <w:sz w:val="22"/>
          <w:szCs w:val="22"/>
        </w:rPr>
        <w:t xml:space="preserve"> </w:t>
      </w:r>
      <w:r w:rsidRPr="00CD459A">
        <w:rPr>
          <w:rFonts w:ascii="Verdana" w:hAnsi="Verdana" w:cs="Arial"/>
          <w:sz w:val="22"/>
          <w:szCs w:val="22"/>
        </w:rPr>
        <w:t>contable, que se traduce en un valor de ingresos mayor al valor de los gastos en el periodo.</w:t>
      </w:r>
    </w:p>
    <w:p w14:paraId="79BB4E0B" w14:textId="77777777" w:rsidR="00355F8E" w:rsidRPr="00CD459A" w:rsidRDefault="00355F8E" w:rsidP="007C7EF4">
      <w:pPr>
        <w:pStyle w:val="Textoindependiente"/>
        <w:ind w:right="269"/>
        <w:rPr>
          <w:rFonts w:ascii="Verdana" w:hAnsi="Verdana" w:cs="Arial"/>
          <w:sz w:val="22"/>
          <w:szCs w:val="22"/>
        </w:rPr>
      </w:pPr>
    </w:p>
    <w:p w14:paraId="6FBC520D" w14:textId="77777777" w:rsidR="007C7EF4" w:rsidRPr="00CD459A" w:rsidRDefault="007C7EF4" w:rsidP="007C7EF4">
      <w:pPr>
        <w:pStyle w:val="Textoindependiente"/>
        <w:ind w:right="269"/>
        <w:rPr>
          <w:rFonts w:ascii="Verdana" w:hAnsi="Verdana" w:cs="Arial"/>
          <w:sz w:val="22"/>
          <w:szCs w:val="22"/>
        </w:rPr>
      </w:pPr>
    </w:p>
    <w:p w14:paraId="26A49CC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1681289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La afectación a esta cuenta se registra por el valor positivo que resulte de descontar el valor total de los gastos asumidos al valor total de los ingresos generados por el Sistema General de Regalías. </w:t>
      </w:r>
    </w:p>
    <w:p w14:paraId="73FF8105" w14:textId="77777777" w:rsidR="007C7EF4" w:rsidRPr="00CD459A" w:rsidRDefault="007C7EF4" w:rsidP="007C7EF4">
      <w:pPr>
        <w:autoSpaceDE w:val="0"/>
        <w:autoSpaceDN w:val="0"/>
        <w:adjustRightInd w:val="0"/>
        <w:jc w:val="both"/>
        <w:rPr>
          <w:rFonts w:ascii="Verdana" w:hAnsi="Verdana" w:cs="Arial"/>
          <w:lang w:val="es-ES_tradnl"/>
        </w:rPr>
      </w:pPr>
    </w:p>
    <w:p w14:paraId="2C059E4B"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1D918EF1"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De esta cuenta se revela el valor total de los ingresos y el valor total de los gastos, cuya diferencia positiva soporta el saldo.</w:t>
      </w:r>
    </w:p>
    <w:p w14:paraId="7425884B" w14:textId="77777777" w:rsidR="007C7EF4" w:rsidRPr="00CD459A" w:rsidRDefault="007C7EF4" w:rsidP="007C7EF4">
      <w:pPr>
        <w:pStyle w:val="Textoindependiente"/>
        <w:ind w:right="269"/>
        <w:rPr>
          <w:rFonts w:ascii="Verdana" w:hAnsi="Verdana" w:cs="Arial"/>
          <w:sz w:val="22"/>
          <w:szCs w:val="22"/>
        </w:rPr>
      </w:pPr>
    </w:p>
    <w:p w14:paraId="5EEA8FCB"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DINÁMICA</w:t>
      </w:r>
    </w:p>
    <w:p w14:paraId="679B43F9" w14:textId="77777777" w:rsidR="007C7EF4" w:rsidRPr="00CD459A" w:rsidRDefault="007C7EF4" w:rsidP="007C7EF4">
      <w:pPr>
        <w:pStyle w:val="Textoindependiente"/>
        <w:ind w:right="269"/>
        <w:rPr>
          <w:rFonts w:ascii="Verdana" w:hAnsi="Verdana" w:cs="Arial"/>
          <w:sz w:val="22"/>
          <w:szCs w:val="22"/>
        </w:rPr>
      </w:pPr>
    </w:p>
    <w:p w14:paraId="4A8B9082"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SE DEBITA CON:</w:t>
      </w:r>
    </w:p>
    <w:p w14:paraId="67339807" w14:textId="77777777" w:rsidR="007C7EF4" w:rsidRPr="00CD459A" w:rsidRDefault="007C7EF4" w:rsidP="007C7EF4">
      <w:pPr>
        <w:pStyle w:val="Textoindependiente"/>
        <w:ind w:right="269"/>
        <w:rPr>
          <w:rFonts w:ascii="Verdana" w:hAnsi="Verdana" w:cs="Arial"/>
          <w:sz w:val="22"/>
          <w:szCs w:val="22"/>
        </w:rPr>
      </w:pPr>
    </w:p>
    <w:p w14:paraId="415C255A" w14:textId="77777777" w:rsidR="007C7EF4" w:rsidRDefault="007C7EF4" w:rsidP="00AB3D96">
      <w:pPr>
        <w:pStyle w:val="Textoindependiente"/>
        <w:numPr>
          <w:ilvl w:val="0"/>
          <w:numId w:val="87"/>
        </w:numPr>
        <w:ind w:right="269"/>
        <w:rPr>
          <w:rFonts w:ascii="Verdana" w:hAnsi="Verdana" w:cs="Arial"/>
          <w:sz w:val="22"/>
          <w:szCs w:val="22"/>
        </w:rPr>
      </w:pPr>
      <w:r w:rsidRPr="00CD459A">
        <w:rPr>
          <w:rFonts w:ascii="Verdana" w:hAnsi="Verdana" w:cs="Arial"/>
          <w:sz w:val="22"/>
          <w:szCs w:val="22"/>
        </w:rPr>
        <w:t>El valor de la utilidad o superávit del ejercicio inmediatamente anterior, con crédito a la subcuenta 310506 – Sistema General de Regalías.</w:t>
      </w:r>
    </w:p>
    <w:p w14:paraId="57A24EB2" w14:textId="77777777" w:rsidR="00355F8E" w:rsidRDefault="00355F8E" w:rsidP="00355F8E">
      <w:pPr>
        <w:pStyle w:val="Textoindependiente"/>
        <w:ind w:left="720" w:right="269"/>
        <w:rPr>
          <w:rFonts w:ascii="Verdana" w:hAnsi="Verdana" w:cs="Arial"/>
          <w:sz w:val="22"/>
          <w:szCs w:val="22"/>
        </w:rPr>
      </w:pPr>
    </w:p>
    <w:p w14:paraId="29487F57" w14:textId="77777777" w:rsidR="00355F8E" w:rsidRPr="00CD459A" w:rsidRDefault="00355F8E" w:rsidP="00355F8E">
      <w:pPr>
        <w:pStyle w:val="Textoindependiente"/>
        <w:ind w:left="720" w:right="269"/>
        <w:rPr>
          <w:rFonts w:ascii="Verdana" w:hAnsi="Verdana" w:cs="Arial"/>
          <w:sz w:val="22"/>
          <w:szCs w:val="22"/>
        </w:rPr>
      </w:pPr>
    </w:p>
    <w:p w14:paraId="0711BB40"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SE ACREDITA CON:</w:t>
      </w:r>
    </w:p>
    <w:p w14:paraId="4E4939A6" w14:textId="77777777" w:rsidR="007C7EF4" w:rsidRPr="00CD459A" w:rsidRDefault="007C7EF4" w:rsidP="007C7EF4">
      <w:pPr>
        <w:pStyle w:val="Textoindependiente"/>
        <w:ind w:right="269"/>
        <w:rPr>
          <w:rFonts w:ascii="Verdana" w:hAnsi="Verdana" w:cs="Arial"/>
          <w:sz w:val="22"/>
          <w:szCs w:val="22"/>
        </w:rPr>
      </w:pPr>
    </w:p>
    <w:p w14:paraId="6A35865F" w14:textId="77777777" w:rsidR="007C7EF4" w:rsidRPr="00CD459A" w:rsidRDefault="007C7EF4" w:rsidP="00AB3D96">
      <w:pPr>
        <w:pStyle w:val="Prrafodelista"/>
        <w:widowControl w:val="0"/>
        <w:numPr>
          <w:ilvl w:val="0"/>
          <w:numId w:val="87"/>
        </w:numPr>
        <w:tabs>
          <w:tab w:val="left" w:pos="545"/>
        </w:tabs>
        <w:spacing w:line="240" w:lineRule="auto"/>
        <w:jc w:val="both"/>
        <w:rPr>
          <w:rFonts w:ascii="Verdana" w:hAnsi="Verdana" w:cs="Arial"/>
        </w:rPr>
      </w:pPr>
      <w:r w:rsidRPr="00CD459A">
        <w:rPr>
          <w:rFonts w:ascii="Verdana" w:hAnsi="Verdana" w:cs="Arial"/>
        </w:rPr>
        <w:t>El valor de la utilidad o superávit al cierre de cada ejercicio contable,</w:t>
      </w:r>
      <w:r w:rsidRPr="00CD459A">
        <w:rPr>
          <w:rFonts w:ascii="Verdana" w:hAnsi="Verdana" w:cs="Arial"/>
          <w:spacing w:val="-3"/>
        </w:rPr>
        <w:t xml:space="preserve"> con debito a la subcuenta de 590501 – Cierre de ingresos gastos y costos.</w:t>
      </w:r>
    </w:p>
    <w:p w14:paraId="2270C806" w14:textId="77777777" w:rsidR="007C7EF4" w:rsidRPr="00CD459A" w:rsidRDefault="007C7EF4" w:rsidP="007C7EF4">
      <w:pPr>
        <w:pStyle w:val="Textoindependiente"/>
        <w:ind w:right="269"/>
        <w:rPr>
          <w:rFonts w:ascii="Verdana" w:hAnsi="Verdana" w:cs="Arial"/>
          <w:sz w:val="22"/>
          <w:szCs w:val="22"/>
        </w:rPr>
      </w:pPr>
    </w:p>
    <w:tbl>
      <w:tblPr>
        <w:tblW w:w="8931" w:type="dxa"/>
        <w:tblInd w:w="-5" w:type="dxa"/>
        <w:tblLayout w:type="fixed"/>
        <w:tblCellMar>
          <w:left w:w="0" w:type="dxa"/>
          <w:right w:w="0" w:type="dxa"/>
        </w:tblCellMar>
        <w:tblLook w:val="01E0" w:firstRow="1" w:lastRow="1" w:firstColumn="1" w:lastColumn="1" w:noHBand="0" w:noVBand="0"/>
      </w:tblPr>
      <w:tblGrid>
        <w:gridCol w:w="1998"/>
        <w:gridCol w:w="3426"/>
        <w:gridCol w:w="3507"/>
      </w:tblGrid>
      <w:tr w:rsidR="00CD459A" w:rsidRPr="00CD459A" w14:paraId="0A6E0B55" w14:textId="77777777" w:rsidTr="003B74CE">
        <w:trPr>
          <w:trHeight w:hRule="exact" w:val="518"/>
        </w:trPr>
        <w:tc>
          <w:tcPr>
            <w:tcW w:w="1998" w:type="dxa"/>
            <w:tcBorders>
              <w:top w:val="single" w:sz="4" w:space="0" w:color="000000"/>
              <w:left w:val="single" w:sz="4" w:space="0" w:color="000000"/>
              <w:bottom w:val="single" w:sz="4" w:space="0" w:color="000000"/>
              <w:right w:val="single" w:sz="4" w:space="0" w:color="000000"/>
            </w:tcBorders>
            <w:shd w:val="clear" w:color="auto" w:fill="auto"/>
          </w:tcPr>
          <w:p w14:paraId="5BB65C07" w14:textId="77777777" w:rsidR="007C7EF4" w:rsidRPr="00CD459A" w:rsidRDefault="007C7EF4" w:rsidP="003B74CE">
            <w:pPr>
              <w:pStyle w:val="TableParagraph"/>
              <w:spacing w:before="81"/>
              <w:ind w:right="719"/>
              <w:jc w:val="right"/>
              <w:rPr>
                <w:rFonts w:ascii="Verdana" w:hAnsi="Verdana" w:cs="Arial"/>
                <w:b/>
                <w:bCs/>
              </w:rPr>
            </w:pPr>
            <w:r w:rsidRPr="00CD459A">
              <w:rPr>
                <w:rFonts w:ascii="Verdana" w:hAnsi="Verdana" w:cs="Arial"/>
                <w:b/>
                <w:bCs/>
              </w:rPr>
              <w:t>CLASE</w:t>
            </w:r>
          </w:p>
        </w:tc>
        <w:tc>
          <w:tcPr>
            <w:tcW w:w="3426" w:type="dxa"/>
            <w:tcBorders>
              <w:top w:val="single" w:sz="4" w:space="0" w:color="000000"/>
              <w:left w:val="single" w:sz="4" w:space="0" w:color="000000"/>
              <w:bottom w:val="single" w:sz="4" w:space="0" w:color="000000"/>
              <w:right w:val="single" w:sz="4" w:space="0" w:color="000000"/>
            </w:tcBorders>
            <w:shd w:val="clear" w:color="auto" w:fill="auto"/>
          </w:tcPr>
          <w:p w14:paraId="7DF56E2D" w14:textId="77777777" w:rsidR="007C7EF4" w:rsidRPr="00CD459A" w:rsidRDefault="007C7EF4" w:rsidP="003B74CE">
            <w:pPr>
              <w:pStyle w:val="TableParagraph"/>
              <w:spacing w:before="81"/>
              <w:ind w:right="1369"/>
              <w:jc w:val="right"/>
              <w:rPr>
                <w:rFonts w:ascii="Verdana" w:hAnsi="Verdana" w:cs="Arial"/>
                <w:b/>
                <w:bCs/>
              </w:rPr>
            </w:pPr>
            <w:r w:rsidRPr="00CD459A">
              <w:rPr>
                <w:rFonts w:ascii="Verdana" w:hAnsi="Verdana" w:cs="Arial"/>
                <w:b/>
                <w:bCs/>
              </w:rPr>
              <w:t>GRUPO</w:t>
            </w:r>
          </w:p>
        </w:tc>
        <w:tc>
          <w:tcPr>
            <w:tcW w:w="3507" w:type="dxa"/>
            <w:tcBorders>
              <w:top w:val="single" w:sz="4" w:space="0" w:color="000000"/>
              <w:left w:val="single" w:sz="4" w:space="0" w:color="000000"/>
              <w:bottom w:val="single" w:sz="4" w:space="0" w:color="000000"/>
              <w:right w:val="single" w:sz="4" w:space="0" w:color="000000"/>
            </w:tcBorders>
            <w:shd w:val="clear" w:color="auto" w:fill="auto"/>
          </w:tcPr>
          <w:p w14:paraId="4B90BB4B" w14:textId="77777777" w:rsidR="007C7EF4" w:rsidRPr="00CD459A" w:rsidRDefault="007C7EF4" w:rsidP="003B74CE">
            <w:pPr>
              <w:pStyle w:val="TableParagraph"/>
              <w:spacing w:before="81"/>
              <w:ind w:right="1370"/>
              <w:jc w:val="right"/>
              <w:rPr>
                <w:rFonts w:ascii="Verdana" w:hAnsi="Verdana" w:cs="Arial"/>
                <w:b/>
                <w:bCs/>
              </w:rPr>
            </w:pPr>
            <w:r w:rsidRPr="00CD459A">
              <w:rPr>
                <w:rFonts w:ascii="Verdana" w:hAnsi="Verdana" w:cs="Arial"/>
                <w:b/>
                <w:bCs/>
              </w:rPr>
              <w:t>CUENTA</w:t>
            </w:r>
          </w:p>
        </w:tc>
      </w:tr>
      <w:tr w:rsidR="00CD459A" w:rsidRPr="00CD459A" w14:paraId="1655047E" w14:textId="77777777" w:rsidTr="003B74CE">
        <w:trPr>
          <w:trHeight w:hRule="exact" w:val="412"/>
        </w:trPr>
        <w:tc>
          <w:tcPr>
            <w:tcW w:w="1998" w:type="dxa"/>
            <w:tcBorders>
              <w:top w:val="single" w:sz="4" w:space="0" w:color="000000"/>
              <w:left w:val="single" w:sz="4" w:space="0" w:color="000000"/>
              <w:bottom w:val="single" w:sz="4" w:space="0" w:color="000000"/>
              <w:right w:val="single" w:sz="4" w:space="0" w:color="000000"/>
            </w:tcBorders>
            <w:shd w:val="clear" w:color="auto" w:fill="auto"/>
          </w:tcPr>
          <w:p w14:paraId="3AB5829D"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426" w:type="dxa"/>
            <w:tcBorders>
              <w:top w:val="single" w:sz="4" w:space="0" w:color="000000"/>
              <w:left w:val="single" w:sz="4" w:space="0" w:color="000000"/>
              <w:bottom w:val="single" w:sz="4" w:space="0" w:color="000000"/>
              <w:right w:val="single" w:sz="4" w:space="0" w:color="000000"/>
            </w:tcBorders>
            <w:shd w:val="clear" w:color="auto" w:fill="auto"/>
          </w:tcPr>
          <w:p w14:paraId="6060867E"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31</w:t>
            </w:r>
          </w:p>
        </w:tc>
        <w:tc>
          <w:tcPr>
            <w:tcW w:w="3507" w:type="dxa"/>
            <w:tcBorders>
              <w:top w:val="single" w:sz="4" w:space="0" w:color="000000"/>
              <w:left w:val="single" w:sz="4" w:space="0" w:color="000000"/>
              <w:bottom w:val="single" w:sz="4" w:space="0" w:color="000000"/>
              <w:right w:val="single" w:sz="4" w:space="0" w:color="000000"/>
            </w:tcBorders>
            <w:shd w:val="clear" w:color="auto" w:fill="auto"/>
          </w:tcPr>
          <w:p w14:paraId="72147839"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311002</w:t>
            </w:r>
          </w:p>
        </w:tc>
      </w:tr>
      <w:tr w:rsidR="00CD459A" w:rsidRPr="00CD459A" w14:paraId="46B84E63" w14:textId="77777777" w:rsidTr="003B74CE">
        <w:trPr>
          <w:trHeight w:hRule="exact" w:val="881"/>
        </w:trPr>
        <w:tc>
          <w:tcPr>
            <w:tcW w:w="1998" w:type="dxa"/>
            <w:tcBorders>
              <w:top w:val="single" w:sz="4" w:space="0" w:color="000000"/>
              <w:left w:val="single" w:sz="4" w:space="0" w:color="000000"/>
              <w:bottom w:val="single" w:sz="4" w:space="0" w:color="000000"/>
              <w:right w:val="single" w:sz="4" w:space="0" w:color="000000"/>
            </w:tcBorders>
            <w:shd w:val="clear" w:color="auto" w:fill="auto"/>
          </w:tcPr>
          <w:p w14:paraId="569A0AE6"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PATRIMONIO</w:t>
            </w:r>
          </w:p>
        </w:tc>
        <w:tc>
          <w:tcPr>
            <w:tcW w:w="3426" w:type="dxa"/>
            <w:tcBorders>
              <w:top w:val="single" w:sz="4" w:space="0" w:color="000000"/>
              <w:left w:val="single" w:sz="4" w:space="0" w:color="000000"/>
              <w:bottom w:val="single" w:sz="4" w:space="0" w:color="000000"/>
              <w:right w:val="single" w:sz="4" w:space="0" w:color="000000"/>
            </w:tcBorders>
            <w:shd w:val="clear" w:color="auto" w:fill="auto"/>
          </w:tcPr>
          <w:p w14:paraId="6EA0EB13" w14:textId="77777777" w:rsidR="007C7EF4" w:rsidRPr="00CD459A" w:rsidRDefault="007C7EF4" w:rsidP="003B74CE">
            <w:pPr>
              <w:pStyle w:val="TableParagraph"/>
              <w:spacing w:before="80"/>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507" w:type="dxa"/>
            <w:tcBorders>
              <w:top w:val="single" w:sz="4" w:space="0" w:color="000000"/>
              <w:left w:val="single" w:sz="4" w:space="0" w:color="000000"/>
              <w:bottom w:val="single" w:sz="4" w:space="0" w:color="000000"/>
              <w:right w:val="single" w:sz="4" w:space="0" w:color="000000"/>
            </w:tcBorders>
            <w:shd w:val="clear" w:color="auto" w:fill="auto"/>
          </w:tcPr>
          <w:p w14:paraId="2E6729B8" w14:textId="77777777" w:rsidR="007C7EF4" w:rsidRPr="00CD459A" w:rsidRDefault="007C7EF4" w:rsidP="003B74CE">
            <w:pPr>
              <w:pStyle w:val="TableParagraph"/>
              <w:spacing w:before="81"/>
              <w:ind w:left="100" w:right="568"/>
              <w:jc w:val="both"/>
              <w:rPr>
                <w:rFonts w:ascii="Verdana" w:hAnsi="Verdana" w:cs="Arial"/>
                <w:lang w:val="es-CO"/>
              </w:rPr>
            </w:pPr>
            <w:r w:rsidRPr="00CD459A">
              <w:rPr>
                <w:rFonts w:ascii="Verdana" w:hAnsi="Verdana" w:cs="Arial"/>
                <w:lang w:val="es-CO"/>
              </w:rPr>
              <w:t>PERDIDA O DEFICIT DEL EJERCICIO</w:t>
            </w:r>
          </w:p>
        </w:tc>
      </w:tr>
    </w:tbl>
    <w:p w14:paraId="27A3FDF0" w14:textId="77777777" w:rsidR="007C7EF4" w:rsidRPr="00CD459A" w:rsidRDefault="007C7EF4" w:rsidP="007C7EF4">
      <w:pPr>
        <w:spacing w:before="2"/>
        <w:ind w:left="188"/>
        <w:jc w:val="both"/>
        <w:rPr>
          <w:rFonts w:ascii="Verdana" w:hAnsi="Verdana" w:cs="Arial"/>
        </w:rPr>
      </w:pPr>
    </w:p>
    <w:p w14:paraId="5951AF16"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DESCRIPCIÓN</w:t>
      </w:r>
    </w:p>
    <w:p w14:paraId="2DB6C319"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Representa el valor de la pérdida asumida por el Sistema General de Regalías, como consecuencia de las operaciones realizadas durante el periodo</w:t>
      </w:r>
      <w:r w:rsidRPr="00CD459A">
        <w:rPr>
          <w:rFonts w:ascii="Verdana" w:hAnsi="Verdana" w:cs="Arial"/>
          <w:spacing w:val="-9"/>
          <w:sz w:val="22"/>
          <w:szCs w:val="22"/>
        </w:rPr>
        <w:t xml:space="preserve"> </w:t>
      </w:r>
      <w:r w:rsidRPr="00CD459A">
        <w:rPr>
          <w:rFonts w:ascii="Verdana" w:hAnsi="Verdana" w:cs="Arial"/>
          <w:sz w:val="22"/>
          <w:szCs w:val="22"/>
        </w:rPr>
        <w:t>contable, que se traduce en un valor de gastos mayor al valor de los ingresos en el periodo.</w:t>
      </w:r>
    </w:p>
    <w:p w14:paraId="57676355" w14:textId="77777777" w:rsidR="007C7EF4" w:rsidRPr="00CD459A" w:rsidRDefault="007C7EF4" w:rsidP="007C7EF4">
      <w:pPr>
        <w:pStyle w:val="Textoindependiente"/>
        <w:ind w:right="269"/>
        <w:rPr>
          <w:rFonts w:ascii="Verdana" w:hAnsi="Verdana" w:cs="Arial"/>
          <w:sz w:val="22"/>
          <w:szCs w:val="22"/>
        </w:rPr>
      </w:pPr>
    </w:p>
    <w:p w14:paraId="345A9822"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00122926"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La afectación a esta cuenta se registra por el valor negativo que resulte de descontar el valor total de los gastos asumidos al valor total de los ingresos generados por el Sistema General de Regalías. </w:t>
      </w:r>
    </w:p>
    <w:p w14:paraId="53C14C61" w14:textId="77777777" w:rsidR="007C7EF4" w:rsidRPr="00CD459A" w:rsidRDefault="007C7EF4" w:rsidP="007C7EF4">
      <w:pPr>
        <w:autoSpaceDE w:val="0"/>
        <w:autoSpaceDN w:val="0"/>
        <w:adjustRightInd w:val="0"/>
        <w:jc w:val="both"/>
        <w:rPr>
          <w:rFonts w:ascii="Verdana" w:hAnsi="Verdana" w:cs="Arial"/>
          <w:lang w:val="es-ES_tradnl"/>
        </w:rPr>
      </w:pPr>
    </w:p>
    <w:p w14:paraId="399BFA36"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72B7DD25"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De esta cuenta se revela el valor total de los ingresos y el valor total de los gastos, cuya diferencia negativa soporta el saldo.</w:t>
      </w:r>
    </w:p>
    <w:p w14:paraId="12ABC1EA" w14:textId="77777777" w:rsidR="007C7EF4" w:rsidRPr="00CD459A" w:rsidRDefault="007C7EF4" w:rsidP="007C7EF4">
      <w:pPr>
        <w:pStyle w:val="Textoindependiente"/>
        <w:ind w:right="269"/>
        <w:rPr>
          <w:rFonts w:ascii="Verdana" w:hAnsi="Verdana" w:cs="Arial"/>
          <w:sz w:val="22"/>
          <w:szCs w:val="22"/>
        </w:rPr>
      </w:pPr>
    </w:p>
    <w:p w14:paraId="623AF005"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DINÁMICA</w:t>
      </w:r>
    </w:p>
    <w:p w14:paraId="0A16CAA2" w14:textId="77777777" w:rsidR="007C7EF4" w:rsidRPr="00CD459A" w:rsidRDefault="007C7EF4" w:rsidP="007C7EF4">
      <w:pPr>
        <w:pStyle w:val="Textoindependiente"/>
        <w:ind w:right="269"/>
        <w:rPr>
          <w:rFonts w:ascii="Verdana" w:hAnsi="Verdana" w:cs="Arial"/>
          <w:sz w:val="22"/>
          <w:szCs w:val="22"/>
        </w:rPr>
      </w:pPr>
    </w:p>
    <w:p w14:paraId="27686206"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SE DEBITA CON:</w:t>
      </w:r>
    </w:p>
    <w:p w14:paraId="6A854A5B" w14:textId="77777777" w:rsidR="007C7EF4" w:rsidRPr="00CD459A" w:rsidRDefault="007C7EF4" w:rsidP="007C7EF4">
      <w:pPr>
        <w:pStyle w:val="Textoindependiente"/>
        <w:ind w:right="269"/>
        <w:rPr>
          <w:rFonts w:ascii="Verdana" w:hAnsi="Verdana" w:cs="Arial"/>
          <w:sz w:val="22"/>
          <w:szCs w:val="22"/>
        </w:rPr>
      </w:pPr>
    </w:p>
    <w:p w14:paraId="16827E85" w14:textId="77777777" w:rsidR="007C7EF4" w:rsidRPr="00355F8E" w:rsidRDefault="007C7EF4" w:rsidP="00AB3D96">
      <w:pPr>
        <w:pStyle w:val="Prrafodelista"/>
        <w:widowControl w:val="0"/>
        <w:numPr>
          <w:ilvl w:val="0"/>
          <w:numId w:val="44"/>
        </w:numPr>
        <w:tabs>
          <w:tab w:val="left" w:pos="545"/>
        </w:tabs>
        <w:spacing w:after="0" w:line="240" w:lineRule="auto"/>
        <w:contextualSpacing w:val="0"/>
        <w:jc w:val="both"/>
        <w:rPr>
          <w:rFonts w:ascii="Verdana" w:hAnsi="Verdana" w:cs="Arial"/>
        </w:rPr>
      </w:pPr>
      <w:r w:rsidRPr="00CD459A">
        <w:rPr>
          <w:rFonts w:ascii="Verdana" w:hAnsi="Verdana" w:cs="Arial"/>
        </w:rPr>
        <w:t>El valor de la pérdida o déficit al cierre de cada ejercicio contable,</w:t>
      </w:r>
      <w:r w:rsidRPr="00CD459A">
        <w:rPr>
          <w:rFonts w:ascii="Verdana" w:hAnsi="Verdana" w:cs="Arial"/>
          <w:spacing w:val="-3"/>
        </w:rPr>
        <w:t xml:space="preserve"> con crédito a la subcuenta de 590501 – Cierre de ingresos gastos y costos.</w:t>
      </w:r>
    </w:p>
    <w:p w14:paraId="4C09261F" w14:textId="77777777" w:rsidR="00355F8E" w:rsidRPr="00CD459A" w:rsidRDefault="00355F8E" w:rsidP="00355F8E">
      <w:pPr>
        <w:pStyle w:val="Prrafodelista"/>
        <w:widowControl w:val="0"/>
        <w:tabs>
          <w:tab w:val="left" w:pos="545"/>
        </w:tabs>
        <w:spacing w:after="0" w:line="240" w:lineRule="auto"/>
        <w:ind w:left="544"/>
        <w:contextualSpacing w:val="0"/>
        <w:jc w:val="both"/>
        <w:rPr>
          <w:rFonts w:ascii="Verdana" w:hAnsi="Verdana" w:cs="Arial"/>
        </w:rPr>
      </w:pPr>
    </w:p>
    <w:p w14:paraId="273C78A7" w14:textId="77777777" w:rsidR="007C7EF4" w:rsidRPr="00CD459A" w:rsidRDefault="007C7EF4" w:rsidP="007C7EF4">
      <w:pPr>
        <w:pStyle w:val="Textoindependiente"/>
        <w:ind w:right="269"/>
        <w:rPr>
          <w:rFonts w:ascii="Verdana" w:hAnsi="Verdana" w:cs="Arial"/>
          <w:sz w:val="22"/>
          <w:szCs w:val="22"/>
        </w:rPr>
      </w:pPr>
    </w:p>
    <w:p w14:paraId="55ED6B52" w14:textId="77777777" w:rsidR="007C7EF4" w:rsidRPr="00CD459A" w:rsidRDefault="007C7EF4" w:rsidP="007C7EF4">
      <w:pPr>
        <w:pStyle w:val="Textoindependiente"/>
        <w:ind w:right="269"/>
        <w:rPr>
          <w:rFonts w:ascii="Verdana" w:hAnsi="Verdana" w:cs="Arial"/>
          <w:sz w:val="22"/>
          <w:szCs w:val="22"/>
        </w:rPr>
      </w:pPr>
      <w:r w:rsidRPr="00CD459A">
        <w:rPr>
          <w:rFonts w:ascii="Verdana" w:hAnsi="Verdana" w:cs="Arial"/>
          <w:sz w:val="22"/>
          <w:szCs w:val="22"/>
        </w:rPr>
        <w:t>SE ACREDITA CON:</w:t>
      </w:r>
    </w:p>
    <w:p w14:paraId="103AFBAA" w14:textId="77777777" w:rsidR="007C7EF4" w:rsidRPr="00CD459A" w:rsidRDefault="007C7EF4" w:rsidP="007C7EF4">
      <w:pPr>
        <w:pStyle w:val="Textoindependiente"/>
        <w:ind w:right="269"/>
        <w:rPr>
          <w:rFonts w:ascii="Verdana" w:hAnsi="Verdana" w:cs="Arial"/>
          <w:sz w:val="22"/>
          <w:szCs w:val="22"/>
        </w:rPr>
      </w:pPr>
    </w:p>
    <w:p w14:paraId="41D55830" w14:textId="77777777" w:rsidR="007C7EF4" w:rsidRPr="00CD459A" w:rsidRDefault="007C7EF4" w:rsidP="00AB3D96">
      <w:pPr>
        <w:pStyle w:val="Textoindependiente"/>
        <w:numPr>
          <w:ilvl w:val="0"/>
          <w:numId w:val="44"/>
        </w:numPr>
        <w:ind w:right="269"/>
        <w:rPr>
          <w:rFonts w:ascii="Verdana" w:hAnsi="Verdana" w:cs="Arial"/>
          <w:sz w:val="22"/>
          <w:szCs w:val="22"/>
        </w:rPr>
      </w:pPr>
      <w:r w:rsidRPr="00CD459A">
        <w:rPr>
          <w:rFonts w:ascii="Verdana" w:hAnsi="Verdana" w:cs="Arial"/>
          <w:sz w:val="22"/>
          <w:szCs w:val="22"/>
        </w:rPr>
        <w:t>El valor de la pérdida o déficit del ejercicio inmediatamente anterior, con debito a la subcuenta 310506 – Sistema General de Regalías.</w:t>
      </w:r>
    </w:p>
    <w:p w14:paraId="30A50274" w14:textId="77777777" w:rsidR="007C7EF4" w:rsidRPr="00CD459A" w:rsidRDefault="007C7EF4" w:rsidP="007C7EF4">
      <w:pPr>
        <w:spacing w:before="8"/>
        <w:jc w:val="both"/>
        <w:rPr>
          <w:rFonts w:ascii="Verdana" w:hAnsi="Verdana" w:cs="Arial"/>
        </w:rPr>
      </w:pPr>
    </w:p>
    <w:tbl>
      <w:tblPr>
        <w:tblW w:w="8917" w:type="dxa"/>
        <w:tblInd w:w="137" w:type="dxa"/>
        <w:tblLayout w:type="fixed"/>
        <w:tblCellMar>
          <w:left w:w="0" w:type="dxa"/>
          <w:right w:w="0" w:type="dxa"/>
        </w:tblCellMar>
        <w:tblLook w:val="01E0" w:firstRow="1" w:lastRow="1" w:firstColumn="1" w:lastColumn="1" w:noHBand="0" w:noVBand="0"/>
      </w:tblPr>
      <w:tblGrid>
        <w:gridCol w:w="1995"/>
        <w:gridCol w:w="3421"/>
        <w:gridCol w:w="3501"/>
      </w:tblGrid>
      <w:tr w:rsidR="00CD459A" w:rsidRPr="00CD459A" w14:paraId="26D44BAE" w14:textId="77777777" w:rsidTr="003B74CE">
        <w:trPr>
          <w:trHeight w:hRule="exact" w:val="410"/>
        </w:trPr>
        <w:tc>
          <w:tcPr>
            <w:tcW w:w="1995" w:type="dxa"/>
            <w:tcBorders>
              <w:top w:val="single" w:sz="4" w:space="0" w:color="000000"/>
              <w:left w:val="single" w:sz="4" w:space="0" w:color="000000"/>
              <w:bottom w:val="single" w:sz="4" w:space="0" w:color="000000"/>
              <w:right w:val="single" w:sz="4" w:space="0" w:color="000000"/>
            </w:tcBorders>
            <w:shd w:val="clear" w:color="auto" w:fill="auto"/>
          </w:tcPr>
          <w:p w14:paraId="455BEDE3" w14:textId="77777777" w:rsidR="007C7EF4" w:rsidRPr="00CD459A" w:rsidRDefault="007C7EF4" w:rsidP="003B74CE">
            <w:pPr>
              <w:pStyle w:val="TableParagraph"/>
              <w:spacing w:before="81"/>
              <w:ind w:right="719"/>
              <w:jc w:val="right"/>
              <w:rPr>
                <w:rFonts w:ascii="Verdana" w:hAnsi="Verdana" w:cs="Arial"/>
                <w:b/>
                <w:bCs/>
              </w:rPr>
            </w:pPr>
            <w:r w:rsidRPr="00CD459A">
              <w:rPr>
                <w:rFonts w:ascii="Verdana" w:hAnsi="Verdana" w:cs="Arial"/>
                <w:b/>
                <w:bCs/>
              </w:rPr>
              <w:t>CLASE</w:t>
            </w:r>
          </w:p>
        </w:tc>
        <w:tc>
          <w:tcPr>
            <w:tcW w:w="3421" w:type="dxa"/>
            <w:tcBorders>
              <w:top w:val="single" w:sz="4" w:space="0" w:color="000000"/>
              <w:left w:val="single" w:sz="4" w:space="0" w:color="000000"/>
              <w:bottom w:val="single" w:sz="4" w:space="0" w:color="000000"/>
              <w:right w:val="single" w:sz="4" w:space="0" w:color="000000"/>
            </w:tcBorders>
            <w:shd w:val="clear" w:color="auto" w:fill="auto"/>
          </w:tcPr>
          <w:p w14:paraId="72C1FDD2" w14:textId="77777777" w:rsidR="007C7EF4" w:rsidRPr="00CD459A" w:rsidRDefault="007C7EF4" w:rsidP="003B74CE">
            <w:pPr>
              <w:pStyle w:val="TableParagraph"/>
              <w:spacing w:before="81"/>
              <w:ind w:right="1369"/>
              <w:jc w:val="right"/>
              <w:rPr>
                <w:rFonts w:ascii="Verdana" w:hAnsi="Verdana" w:cs="Arial"/>
                <w:b/>
                <w:bCs/>
              </w:rPr>
            </w:pPr>
            <w:r w:rsidRPr="00CD459A">
              <w:rPr>
                <w:rFonts w:ascii="Verdana" w:hAnsi="Verdana" w:cs="Arial"/>
                <w:b/>
                <w:bCs/>
              </w:rPr>
              <w:t>GRUPO</w:t>
            </w:r>
          </w:p>
        </w:tc>
        <w:tc>
          <w:tcPr>
            <w:tcW w:w="3501" w:type="dxa"/>
            <w:tcBorders>
              <w:top w:val="single" w:sz="4" w:space="0" w:color="000000"/>
              <w:left w:val="single" w:sz="4" w:space="0" w:color="000000"/>
              <w:bottom w:val="single" w:sz="4" w:space="0" w:color="000000"/>
              <w:right w:val="single" w:sz="4" w:space="0" w:color="000000"/>
            </w:tcBorders>
            <w:shd w:val="clear" w:color="auto" w:fill="auto"/>
          </w:tcPr>
          <w:p w14:paraId="173351C2" w14:textId="77777777" w:rsidR="007C7EF4" w:rsidRPr="00CD459A" w:rsidRDefault="007C7EF4" w:rsidP="003B74CE">
            <w:pPr>
              <w:pStyle w:val="TableParagraph"/>
              <w:spacing w:before="81"/>
              <w:ind w:right="1370"/>
              <w:jc w:val="right"/>
              <w:rPr>
                <w:rFonts w:ascii="Verdana" w:hAnsi="Verdana" w:cs="Arial"/>
                <w:b/>
                <w:bCs/>
              </w:rPr>
            </w:pPr>
            <w:r w:rsidRPr="00CD459A">
              <w:rPr>
                <w:rFonts w:ascii="Verdana" w:hAnsi="Verdana" w:cs="Arial"/>
                <w:b/>
                <w:bCs/>
              </w:rPr>
              <w:t>CUENTA</w:t>
            </w:r>
          </w:p>
        </w:tc>
      </w:tr>
      <w:tr w:rsidR="00CD459A" w:rsidRPr="00CD459A" w14:paraId="77E7B3D1" w14:textId="77777777" w:rsidTr="003B74CE">
        <w:trPr>
          <w:trHeight w:hRule="exact" w:val="431"/>
        </w:trPr>
        <w:tc>
          <w:tcPr>
            <w:tcW w:w="1995" w:type="dxa"/>
            <w:tcBorders>
              <w:top w:val="single" w:sz="4" w:space="0" w:color="000000"/>
              <w:left w:val="single" w:sz="4" w:space="0" w:color="000000"/>
              <w:bottom w:val="single" w:sz="4" w:space="0" w:color="000000"/>
              <w:right w:val="single" w:sz="4" w:space="0" w:color="000000"/>
            </w:tcBorders>
            <w:shd w:val="clear" w:color="auto" w:fill="auto"/>
          </w:tcPr>
          <w:p w14:paraId="396821A3"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421" w:type="dxa"/>
            <w:tcBorders>
              <w:top w:val="single" w:sz="4" w:space="0" w:color="000000"/>
              <w:left w:val="single" w:sz="4" w:space="0" w:color="000000"/>
              <w:bottom w:val="single" w:sz="4" w:space="0" w:color="000000"/>
              <w:right w:val="single" w:sz="4" w:space="0" w:color="000000"/>
            </w:tcBorders>
            <w:shd w:val="clear" w:color="auto" w:fill="auto"/>
          </w:tcPr>
          <w:p w14:paraId="6ADF325E"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31</w:t>
            </w:r>
          </w:p>
        </w:tc>
        <w:tc>
          <w:tcPr>
            <w:tcW w:w="3501" w:type="dxa"/>
            <w:tcBorders>
              <w:top w:val="single" w:sz="4" w:space="0" w:color="000000"/>
              <w:left w:val="single" w:sz="4" w:space="0" w:color="000000"/>
              <w:bottom w:val="single" w:sz="4" w:space="0" w:color="000000"/>
              <w:right w:val="single" w:sz="4" w:space="0" w:color="000000"/>
            </w:tcBorders>
            <w:shd w:val="clear" w:color="auto" w:fill="auto"/>
          </w:tcPr>
          <w:p w14:paraId="0F9C3D48"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314501</w:t>
            </w:r>
          </w:p>
        </w:tc>
      </w:tr>
      <w:tr w:rsidR="00CD459A" w:rsidRPr="00CD459A" w14:paraId="78DF6BAD" w14:textId="77777777" w:rsidTr="003B74CE">
        <w:trPr>
          <w:trHeight w:hRule="exact" w:val="920"/>
        </w:trPr>
        <w:tc>
          <w:tcPr>
            <w:tcW w:w="1995" w:type="dxa"/>
            <w:tcBorders>
              <w:top w:val="single" w:sz="4" w:space="0" w:color="000000"/>
              <w:left w:val="single" w:sz="4" w:space="0" w:color="000000"/>
              <w:bottom w:val="single" w:sz="4" w:space="0" w:color="000000"/>
              <w:right w:val="single" w:sz="4" w:space="0" w:color="000000"/>
            </w:tcBorders>
            <w:shd w:val="clear" w:color="auto" w:fill="auto"/>
          </w:tcPr>
          <w:p w14:paraId="0EEA4FC4"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PATRIMONIO</w:t>
            </w:r>
          </w:p>
        </w:tc>
        <w:tc>
          <w:tcPr>
            <w:tcW w:w="3421" w:type="dxa"/>
            <w:tcBorders>
              <w:top w:val="single" w:sz="4" w:space="0" w:color="000000"/>
              <w:left w:val="single" w:sz="4" w:space="0" w:color="000000"/>
              <w:bottom w:val="single" w:sz="4" w:space="0" w:color="000000"/>
              <w:right w:val="single" w:sz="4" w:space="0" w:color="000000"/>
            </w:tcBorders>
            <w:shd w:val="clear" w:color="auto" w:fill="auto"/>
          </w:tcPr>
          <w:p w14:paraId="4E02C8FA" w14:textId="77777777" w:rsidR="007C7EF4" w:rsidRPr="00CD459A" w:rsidRDefault="007C7EF4" w:rsidP="003B74CE">
            <w:pPr>
              <w:pStyle w:val="TableParagraph"/>
              <w:spacing w:before="80"/>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501" w:type="dxa"/>
            <w:tcBorders>
              <w:top w:val="single" w:sz="4" w:space="0" w:color="000000"/>
              <w:left w:val="single" w:sz="4" w:space="0" w:color="000000"/>
              <w:bottom w:val="single" w:sz="4" w:space="0" w:color="000000"/>
              <w:right w:val="single" w:sz="4" w:space="0" w:color="000000"/>
            </w:tcBorders>
            <w:shd w:val="clear" w:color="auto" w:fill="auto"/>
          </w:tcPr>
          <w:p w14:paraId="5BE4F031" w14:textId="77777777" w:rsidR="007C7EF4" w:rsidRPr="00CD459A" w:rsidRDefault="007C7EF4" w:rsidP="003B74CE">
            <w:pPr>
              <w:pStyle w:val="TableParagraph"/>
              <w:spacing w:before="80"/>
              <w:ind w:left="100" w:right="200"/>
              <w:jc w:val="both"/>
              <w:rPr>
                <w:rFonts w:ascii="Verdana" w:hAnsi="Verdana" w:cs="Arial"/>
                <w:lang w:val="es-CO"/>
              </w:rPr>
            </w:pPr>
            <w:r w:rsidRPr="00CD459A">
              <w:rPr>
                <w:rFonts w:ascii="Verdana" w:hAnsi="Verdana" w:cs="Arial"/>
                <w:lang w:val="es-CO"/>
              </w:rPr>
              <w:t>EFECTIVO Y EQUIVALENTES AL EFECTIVO</w:t>
            </w:r>
          </w:p>
        </w:tc>
      </w:tr>
    </w:tbl>
    <w:p w14:paraId="2E32D0EC" w14:textId="77777777" w:rsidR="007C7EF4" w:rsidRPr="00CD459A" w:rsidRDefault="007C7EF4" w:rsidP="007C7EF4">
      <w:pPr>
        <w:spacing w:before="3"/>
        <w:jc w:val="both"/>
        <w:rPr>
          <w:rFonts w:ascii="Verdana" w:hAnsi="Verdana" w:cs="Arial"/>
        </w:rPr>
      </w:pPr>
    </w:p>
    <w:p w14:paraId="6E85B7F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DESCRIPCIÓN</w:t>
      </w:r>
    </w:p>
    <w:p w14:paraId="0DACBD30" w14:textId="77777777" w:rsidR="007C7EF4" w:rsidRPr="00CD459A" w:rsidRDefault="007C7EF4" w:rsidP="007C7EF4">
      <w:pPr>
        <w:spacing w:before="11"/>
        <w:jc w:val="both"/>
        <w:rPr>
          <w:rFonts w:ascii="Verdana" w:hAnsi="Verdana" w:cs="Arial"/>
          <w:lang w:val="es-ES_tradnl"/>
        </w:rPr>
      </w:pPr>
      <w:r w:rsidRPr="00CD459A">
        <w:rPr>
          <w:rFonts w:ascii="Verdana" w:hAnsi="Verdana" w:cs="Arial"/>
          <w:lang w:val="es-ES_tradnl"/>
        </w:rPr>
        <w:t>El saldo de esta cuenta es contrario a su naturaleza y corresponde a los valores que a diciembre de 2017 representaban efectivo del Sistema general de regalías, y en cumplimiento del nuevo marco normativo, en especial la resolución 470 de 2016 deben ser retirados de la contabilidad del SGR y que deben ser incorporados en la contabilidad de los órganos del sistema.</w:t>
      </w:r>
    </w:p>
    <w:p w14:paraId="36E28F0A" w14:textId="77777777" w:rsidR="007C7EF4" w:rsidRPr="00CD459A" w:rsidRDefault="007C7EF4" w:rsidP="007C7EF4">
      <w:pPr>
        <w:spacing w:before="11"/>
        <w:jc w:val="both"/>
        <w:rPr>
          <w:rFonts w:ascii="Verdana" w:hAnsi="Verdana" w:cs="Arial"/>
        </w:rPr>
      </w:pPr>
    </w:p>
    <w:p w14:paraId="2C9639BE"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08CF8437"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ajustes por convergencia se realizan por el importe en efectivo que reflejaban estas partidas en los estados financieros del Sistema General de Regalías a 31 de diciembre de 2017.</w:t>
      </w:r>
    </w:p>
    <w:p w14:paraId="1C0FEF46"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2A5B1A3C" w14:textId="77777777" w:rsidR="007C7EF4" w:rsidRPr="00CD459A" w:rsidRDefault="007C7EF4" w:rsidP="007C7EF4">
      <w:pPr>
        <w:spacing w:before="11"/>
        <w:jc w:val="both"/>
        <w:rPr>
          <w:rFonts w:ascii="Verdana" w:hAnsi="Verdana" w:cs="Arial"/>
        </w:rPr>
      </w:pPr>
    </w:p>
    <w:p w14:paraId="040A466B" w14:textId="77777777" w:rsidR="007C7EF4" w:rsidRPr="00CD459A" w:rsidRDefault="007C7EF4" w:rsidP="007C7EF4">
      <w:pPr>
        <w:spacing w:before="11"/>
        <w:jc w:val="both"/>
        <w:rPr>
          <w:rFonts w:ascii="Verdana" w:hAnsi="Verdana" w:cs="Arial"/>
          <w:lang w:val="es-ES_tradnl"/>
        </w:rPr>
      </w:pPr>
      <w:r w:rsidRPr="00CD459A">
        <w:rPr>
          <w:rFonts w:ascii="Verdana" w:hAnsi="Verdana" w:cs="Arial"/>
          <w:lang w:val="es-ES_tradnl"/>
        </w:rPr>
        <w:t xml:space="preserve">El saldo de esta cuenta se revela indicando las partidas del efectivo que fueron retirados de la contabilidad del Sistema General de Regalías y que deben ser incorporados pro los órganos del sistema. </w:t>
      </w:r>
    </w:p>
    <w:p w14:paraId="193C2973" w14:textId="77777777" w:rsidR="007C7EF4" w:rsidRPr="00CD459A" w:rsidRDefault="007C7EF4" w:rsidP="007C7EF4">
      <w:pPr>
        <w:spacing w:before="1"/>
        <w:jc w:val="both"/>
        <w:rPr>
          <w:rFonts w:ascii="Verdana" w:hAnsi="Verdana" w:cs="Arial"/>
          <w:lang w:val="es-ES_tradnl"/>
        </w:rPr>
      </w:pPr>
    </w:p>
    <w:p w14:paraId="340EEB8F" w14:textId="77777777" w:rsidR="007C7EF4" w:rsidRPr="00CD459A" w:rsidRDefault="007C7EF4" w:rsidP="007C7EF4">
      <w:pPr>
        <w:jc w:val="both"/>
        <w:rPr>
          <w:rFonts w:ascii="Verdana" w:hAnsi="Verdana" w:cs="Arial"/>
          <w:bCs/>
        </w:rPr>
      </w:pPr>
      <w:r w:rsidRPr="00CD459A">
        <w:rPr>
          <w:rFonts w:ascii="Verdana" w:hAnsi="Verdana" w:cs="Arial"/>
        </w:rPr>
        <w:t>DINÁMICA</w:t>
      </w:r>
    </w:p>
    <w:p w14:paraId="3B6F8B11" w14:textId="77777777" w:rsidR="007C7EF4" w:rsidRPr="00CD459A" w:rsidRDefault="007C7EF4" w:rsidP="007C7EF4">
      <w:pPr>
        <w:spacing w:before="11"/>
        <w:jc w:val="both"/>
        <w:rPr>
          <w:rFonts w:ascii="Verdana" w:hAnsi="Verdana" w:cs="Arial"/>
          <w:bCs/>
        </w:rPr>
      </w:pPr>
    </w:p>
    <w:p w14:paraId="6F9297ED" w14:textId="6FC25B93" w:rsidR="007C7EF4" w:rsidRPr="00CD459A" w:rsidRDefault="007C7EF4" w:rsidP="00355F8E">
      <w:pPr>
        <w:jc w:val="both"/>
        <w:rPr>
          <w:rFonts w:ascii="Verdana" w:hAnsi="Verdana" w:cs="Arial"/>
          <w:bCs/>
        </w:rPr>
      </w:pPr>
      <w:r w:rsidRPr="00CD459A">
        <w:rPr>
          <w:rFonts w:ascii="Verdana" w:hAnsi="Verdana" w:cs="Arial"/>
        </w:rPr>
        <w:t>SE DEBITA</w:t>
      </w:r>
      <w:r w:rsidRPr="00CD459A">
        <w:rPr>
          <w:rFonts w:ascii="Verdana" w:hAnsi="Verdana" w:cs="Arial"/>
          <w:spacing w:val="-8"/>
        </w:rPr>
        <w:t xml:space="preserve"> </w:t>
      </w:r>
      <w:r w:rsidRPr="00CD459A">
        <w:rPr>
          <w:rFonts w:ascii="Verdana" w:hAnsi="Verdana" w:cs="Arial"/>
        </w:rPr>
        <w:t>CON:</w:t>
      </w:r>
    </w:p>
    <w:p w14:paraId="65DB6285" w14:textId="77777777" w:rsidR="007C7EF4" w:rsidRPr="00CD459A" w:rsidRDefault="007C7EF4" w:rsidP="00AB3D96">
      <w:pPr>
        <w:pStyle w:val="Textoindependiente"/>
        <w:numPr>
          <w:ilvl w:val="0"/>
          <w:numId w:val="45"/>
        </w:numPr>
        <w:ind w:right="269"/>
        <w:rPr>
          <w:rFonts w:ascii="Verdana" w:hAnsi="Verdana" w:cs="Arial"/>
          <w:sz w:val="22"/>
          <w:szCs w:val="22"/>
        </w:rPr>
      </w:pPr>
      <w:r w:rsidRPr="00CD459A">
        <w:rPr>
          <w:rFonts w:ascii="Verdana" w:hAnsi="Verdana" w:cs="Arial"/>
          <w:sz w:val="22"/>
          <w:szCs w:val="22"/>
        </w:rPr>
        <w:t>El valor de las partidas del efectivo retiradas, con crédito a las subcuentas que identifican las partidas del efectivo que se deben retirar de los saldos contables.</w:t>
      </w:r>
    </w:p>
    <w:p w14:paraId="2C5F793C" w14:textId="77777777" w:rsidR="007C7EF4" w:rsidRPr="00CD459A" w:rsidRDefault="007C7EF4" w:rsidP="007C7EF4">
      <w:pPr>
        <w:spacing w:before="3"/>
        <w:jc w:val="both"/>
        <w:rPr>
          <w:rFonts w:ascii="Verdana" w:hAnsi="Verdana" w:cs="Arial"/>
        </w:rPr>
      </w:pPr>
    </w:p>
    <w:p w14:paraId="65BAC25E" w14:textId="77777777" w:rsidR="007C7EF4" w:rsidRPr="00CD459A" w:rsidRDefault="007C7EF4" w:rsidP="007C7EF4">
      <w:pPr>
        <w:jc w:val="both"/>
        <w:rPr>
          <w:rFonts w:ascii="Verdana" w:hAnsi="Verdana" w:cs="Arial"/>
          <w:bCs/>
        </w:rPr>
      </w:pPr>
      <w:r w:rsidRPr="00CD459A">
        <w:rPr>
          <w:rFonts w:ascii="Verdana" w:hAnsi="Verdana" w:cs="Arial"/>
        </w:rPr>
        <w:t>SE ACREDITA</w:t>
      </w:r>
      <w:r w:rsidRPr="00CD459A">
        <w:rPr>
          <w:rFonts w:ascii="Verdana" w:hAnsi="Verdana" w:cs="Arial"/>
          <w:spacing w:val="-6"/>
        </w:rPr>
        <w:t xml:space="preserve"> </w:t>
      </w:r>
      <w:r w:rsidRPr="00CD459A">
        <w:rPr>
          <w:rFonts w:ascii="Verdana" w:hAnsi="Verdana" w:cs="Arial"/>
        </w:rPr>
        <w:t>CON:</w:t>
      </w:r>
    </w:p>
    <w:p w14:paraId="7781E4D5" w14:textId="77777777" w:rsidR="007C7EF4" w:rsidRPr="00CD459A" w:rsidRDefault="007C7EF4" w:rsidP="00AB3D96">
      <w:pPr>
        <w:pStyle w:val="Textoindependiente"/>
        <w:numPr>
          <w:ilvl w:val="0"/>
          <w:numId w:val="46"/>
        </w:numPr>
        <w:ind w:right="269"/>
        <w:rPr>
          <w:rFonts w:ascii="Verdana" w:hAnsi="Verdana" w:cs="Arial"/>
          <w:sz w:val="22"/>
          <w:szCs w:val="22"/>
        </w:rPr>
      </w:pPr>
      <w:r w:rsidRPr="00CD459A">
        <w:rPr>
          <w:rFonts w:ascii="Verdana" w:hAnsi="Verdana" w:cs="Arial"/>
          <w:sz w:val="22"/>
          <w:szCs w:val="22"/>
        </w:rPr>
        <w:t>El valor de las partidas en efectivo incorporadas, con debito a las subcuentas que identifican las partidas del efectivo que se deben incorporar contablemente.</w:t>
      </w:r>
    </w:p>
    <w:p w14:paraId="4D34A701" w14:textId="77777777" w:rsidR="007C7EF4" w:rsidRPr="00CD459A" w:rsidRDefault="007C7EF4" w:rsidP="007C7EF4">
      <w:pPr>
        <w:suppressLineNumbers/>
        <w:tabs>
          <w:tab w:val="left" w:pos="-720"/>
        </w:tabs>
        <w:ind w:left="284" w:hanging="284"/>
        <w:jc w:val="both"/>
        <w:rPr>
          <w:rFonts w:ascii="Verdana" w:hAnsi="Verdana" w:cs="Arial"/>
        </w:rPr>
      </w:pPr>
    </w:p>
    <w:tbl>
      <w:tblPr>
        <w:tblW w:w="8962" w:type="dxa"/>
        <w:tblInd w:w="-5" w:type="dxa"/>
        <w:tblLayout w:type="fixed"/>
        <w:tblCellMar>
          <w:left w:w="0" w:type="dxa"/>
          <w:right w:w="0" w:type="dxa"/>
        </w:tblCellMar>
        <w:tblLook w:val="01E0" w:firstRow="1" w:lastRow="1" w:firstColumn="1" w:lastColumn="1" w:noHBand="0" w:noVBand="0"/>
      </w:tblPr>
      <w:tblGrid>
        <w:gridCol w:w="2005"/>
        <w:gridCol w:w="3438"/>
        <w:gridCol w:w="3519"/>
      </w:tblGrid>
      <w:tr w:rsidR="00CD459A" w:rsidRPr="00CD459A" w14:paraId="1BD7C955" w14:textId="77777777" w:rsidTr="003B74CE">
        <w:trPr>
          <w:trHeight w:hRule="exact" w:val="375"/>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77F7B34B" w14:textId="77777777" w:rsidR="007C7EF4" w:rsidRPr="00CD459A" w:rsidRDefault="007C7EF4" w:rsidP="003B74CE">
            <w:pPr>
              <w:pStyle w:val="TableParagraph"/>
              <w:spacing w:before="81"/>
              <w:ind w:right="719"/>
              <w:jc w:val="right"/>
              <w:rPr>
                <w:rFonts w:ascii="Verdana" w:hAnsi="Verdana" w:cs="Arial"/>
                <w:b/>
                <w:bCs/>
              </w:rPr>
            </w:pPr>
            <w:r w:rsidRPr="00CD459A">
              <w:rPr>
                <w:rFonts w:ascii="Verdana" w:hAnsi="Verdana" w:cs="Arial"/>
                <w:b/>
                <w:bCs/>
              </w:rPr>
              <w:t>CLASE</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74A62D98" w14:textId="77777777" w:rsidR="007C7EF4" w:rsidRPr="00CD459A" w:rsidRDefault="007C7EF4" w:rsidP="003B74CE">
            <w:pPr>
              <w:pStyle w:val="TableParagraph"/>
              <w:spacing w:before="81"/>
              <w:ind w:right="1369"/>
              <w:jc w:val="right"/>
              <w:rPr>
                <w:rFonts w:ascii="Verdana" w:hAnsi="Verdana" w:cs="Arial"/>
                <w:b/>
                <w:bCs/>
              </w:rPr>
            </w:pPr>
            <w:r w:rsidRPr="00CD459A">
              <w:rPr>
                <w:rFonts w:ascii="Verdana" w:hAnsi="Verdana" w:cs="Arial"/>
                <w:b/>
                <w:bCs/>
              </w:rPr>
              <w:t>GRUPO</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2630090C" w14:textId="77777777" w:rsidR="007C7EF4" w:rsidRPr="00CD459A" w:rsidRDefault="007C7EF4" w:rsidP="003B74CE">
            <w:pPr>
              <w:pStyle w:val="TableParagraph"/>
              <w:spacing w:before="81"/>
              <w:ind w:right="1370"/>
              <w:jc w:val="right"/>
              <w:rPr>
                <w:rFonts w:ascii="Verdana" w:hAnsi="Verdana" w:cs="Arial"/>
                <w:b/>
                <w:bCs/>
              </w:rPr>
            </w:pPr>
            <w:r w:rsidRPr="00CD459A">
              <w:rPr>
                <w:rFonts w:ascii="Verdana" w:hAnsi="Verdana" w:cs="Arial"/>
                <w:b/>
                <w:bCs/>
              </w:rPr>
              <w:t>CUENTA</w:t>
            </w:r>
          </w:p>
        </w:tc>
      </w:tr>
      <w:tr w:rsidR="00CD459A" w:rsidRPr="00CD459A" w14:paraId="4F20958C" w14:textId="77777777" w:rsidTr="003B74CE">
        <w:trPr>
          <w:trHeight w:hRule="exact" w:val="422"/>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40538FA8"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60BAE856"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31</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7D700FF1"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314503</w:t>
            </w:r>
          </w:p>
        </w:tc>
      </w:tr>
      <w:tr w:rsidR="00CD459A" w:rsidRPr="00CD459A" w14:paraId="104A4B16" w14:textId="77777777" w:rsidTr="003B74CE">
        <w:trPr>
          <w:trHeight w:hRule="exact" w:val="712"/>
        </w:trPr>
        <w:tc>
          <w:tcPr>
            <w:tcW w:w="2005" w:type="dxa"/>
            <w:tcBorders>
              <w:top w:val="single" w:sz="4" w:space="0" w:color="000000"/>
              <w:left w:val="single" w:sz="4" w:space="0" w:color="000000"/>
              <w:bottom w:val="single" w:sz="4" w:space="0" w:color="000000"/>
              <w:right w:val="single" w:sz="4" w:space="0" w:color="000000"/>
            </w:tcBorders>
            <w:shd w:val="clear" w:color="auto" w:fill="auto"/>
          </w:tcPr>
          <w:p w14:paraId="30160596"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PATRIMONIO</w:t>
            </w:r>
          </w:p>
        </w:tc>
        <w:tc>
          <w:tcPr>
            <w:tcW w:w="3438" w:type="dxa"/>
            <w:tcBorders>
              <w:top w:val="single" w:sz="4" w:space="0" w:color="000000"/>
              <w:left w:val="single" w:sz="4" w:space="0" w:color="000000"/>
              <w:bottom w:val="single" w:sz="4" w:space="0" w:color="000000"/>
              <w:right w:val="single" w:sz="4" w:space="0" w:color="000000"/>
            </w:tcBorders>
            <w:shd w:val="clear" w:color="auto" w:fill="auto"/>
          </w:tcPr>
          <w:p w14:paraId="57E10A48" w14:textId="77777777" w:rsidR="007C7EF4" w:rsidRPr="00CD459A" w:rsidRDefault="007C7EF4" w:rsidP="003B74CE">
            <w:pPr>
              <w:pStyle w:val="TableParagraph"/>
              <w:spacing w:before="80"/>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519" w:type="dxa"/>
            <w:tcBorders>
              <w:top w:val="single" w:sz="4" w:space="0" w:color="000000"/>
              <w:left w:val="single" w:sz="4" w:space="0" w:color="000000"/>
              <w:bottom w:val="single" w:sz="4" w:space="0" w:color="000000"/>
              <w:right w:val="single" w:sz="4" w:space="0" w:color="000000"/>
            </w:tcBorders>
            <w:shd w:val="clear" w:color="auto" w:fill="auto"/>
          </w:tcPr>
          <w:p w14:paraId="6F544E3C" w14:textId="77777777" w:rsidR="007C7EF4" w:rsidRPr="00CD459A" w:rsidRDefault="007C7EF4" w:rsidP="003B74CE">
            <w:pPr>
              <w:pStyle w:val="TableParagraph"/>
              <w:spacing w:before="80"/>
              <w:ind w:left="100" w:right="200"/>
              <w:jc w:val="both"/>
              <w:rPr>
                <w:rFonts w:ascii="Verdana" w:hAnsi="Verdana" w:cs="Arial"/>
              </w:rPr>
            </w:pPr>
            <w:r w:rsidRPr="00CD459A">
              <w:rPr>
                <w:rFonts w:ascii="Verdana" w:hAnsi="Verdana" w:cs="Arial"/>
              </w:rPr>
              <w:t>CUENTAS POR COBRAR</w:t>
            </w:r>
          </w:p>
        </w:tc>
      </w:tr>
    </w:tbl>
    <w:p w14:paraId="0D2F4511" w14:textId="77777777" w:rsidR="007C7EF4" w:rsidRPr="00CD459A" w:rsidRDefault="007C7EF4" w:rsidP="007C7EF4">
      <w:pPr>
        <w:spacing w:before="3"/>
        <w:jc w:val="both"/>
        <w:rPr>
          <w:rFonts w:ascii="Verdana" w:hAnsi="Verdana" w:cs="Arial"/>
        </w:rPr>
      </w:pPr>
    </w:p>
    <w:p w14:paraId="697947E2" w14:textId="77777777" w:rsidR="007C7EF4" w:rsidRPr="00CD459A" w:rsidRDefault="007C7EF4" w:rsidP="007C7EF4">
      <w:pPr>
        <w:jc w:val="both"/>
        <w:rPr>
          <w:rFonts w:ascii="Verdana" w:hAnsi="Verdana" w:cs="Arial"/>
          <w:bCs/>
        </w:rPr>
      </w:pPr>
      <w:r w:rsidRPr="00CD459A">
        <w:rPr>
          <w:rFonts w:ascii="Verdana" w:hAnsi="Verdana" w:cs="Arial"/>
        </w:rPr>
        <w:t>DESCRIPCIÓN</w:t>
      </w:r>
    </w:p>
    <w:p w14:paraId="400AC5CA" w14:textId="77777777" w:rsidR="007C7EF4" w:rsidRPr="00CD459A" w:rsidRDefault="007C7EF4" w:rsidP="007C7EF4">
      <w:pPr>
        <w:spacing w:before="11"/>
        <w:jc w:val="both"/>
        <w:rPr>
          <w:rFonts w:ascii="Verdana" w:hAnsi="Verdana" w:cs="Arial"/>
          <w:lang w:val="es-ES_tradnl"/>
        </w:rPr>
      </w:pPr>
      <w:r w:rsidRPr="00CD459A">
        <w:rPr>
          <w:rFonts w:ascii="Verdana" w:hAnsi="Verdana" w:cs="Arial"/>
          <w:lang w:val="es-ES_tradnl"/>
        </w:rPr>
        <w:t>El saldo de esta cuenta es contrario a su naturaleza y corresponde a los valores que a diciembre de 2017 representaban derechos representados en cuentas por cobrar para el Sistema general de regalías, y en cumplimiento del nuevo marco normativo, en especial la resolución 470 de 2016 deben ser retirados de la contabilidad del SGR y que deben ser incorporados en la contabilidad de los órganos del sistema.</w:t>
      </w:r>
    </w:p>
    <w:p w14:paraId="78529F23" w14:textId="77777777" w:rsidR="007C7EF4" w:rsidRPr="00CD459A" w:rsidRDefault="007C7EF4" w:rsidP="007C7EF4">
      <w:pPr>
        <w:spacing w:before="11"/>
        <w:jc w:val="both"/>
        <w:rPr>
          <w:rFonts w:ascii="Verdana" w:hAnsi="Verdana" w:cs="Arial"/>
        </w:rPr>
      </w:pPr>
    </w:p>
    <w:p w14:paraId="14AFE9DE"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44808639"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Los ajustes por convergencia se realizan por el importe que representaban estos derechos en los estados financieros del Sistema General de Regalías a 31 de diciembre de 2017.</w:t>
      </w:r>
    </w:p>
    <w:p w14:paraId="11AA1FE3" w14:textId="77777777" w:rsidR="007C7EF4" w:rsidRPr="00CD459A" w:rsidRDefault="007C7EF4" w:rsidP="007C7EF4">
      <w:pPr>
        <w:autoSpaceDE w:val="0"/>
        <w:autoSpaceDN w:val="0"/>
        <w:adjustRightInd w:val="0"/>
        <w:jc w:val="both"/>
        <w:rPr>
          <w:rFonts w:ascii="Verdana" w:hAnsi="Verdana" w:cs="Arial"/>
          <w:lang w:val="es-ES_tradnl"/>
        </w:rPr>
      </w:pPr>
    </w:p>
    <w:p w14:paraId="4695FF83"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3170BC6E" w14:textId="77777777" w:rsidR="007C7EF4" w:rsidRPr="00CD459A" w:rsidRDefault="007C7EF4" w:rsidP="007C7EF4">
      <w:pPr>
        <w:spacing w:before="11"/>
        <w:jc w:val="both"/>
        <w:rPr>
          <w:rFonts w:ascii="Verdana" w:hAnsi="Verdana" w:cs="Arial"/>
          <w:lang w:val="es-ES_tradnl"/>
        </w:rPr>
      </w:pPr>
      <w:r w:rsidRPr="00CD459A">
        <w:rPr>
          <w:rFonts w:ascii="Verdana" w:hAnsi="Verdana" w:cs="Arial"/>
          <w:lang w:val="es-ES_tradnl"/>
        </w:rPr>
        <w:t xml:space="preserve">El saldo de esta cuenta se revela indicando los derechos que fueron retirados de la contabilidad del Sistema General de Regalías y que deben ser incorporados pro los órganos del sistema. </w:t>
      </w:r>
    </w:p>
    <w:p w14:paraId="5BAA3369" w14:textId="77777777" w:rsidR="007C7EF4" w:rsidRPr="00CD459A" w:rsidRDefault="007C7EF4" w:rsidP="007C7EF4">
      <w:pPr>
        <w:spacing w:before="1"/>
        <w:jc w:val="both"/>
        <w:rPr>
          <w:rFonts w:ascii="Verdana" w:hAnsi="Verdana" w:cs="Arial"/>
          <w:lang w:val="es-ES_tradnl"/>
        </w:rPr>
      </w:pPr>
    </w:p>
    <w:p w14:paraId="2B832334" w14:textId="77777777" w:rsidR="007C7EF4" w:rsidRPr="00CD459A" w:rsidRDefault="007C7EF4" w:rsidP="007C7EF4">
      <w:pPr>
        <w:jc w:val="both"/>
        <w:rPr>
          <w:rFonts w:ascii="Verdana" w:hAnsi="Verdana" w:cs="Arial"/>
          <w:bCs/>
        </w:rPr>
      </w:pPr>
      <w:r w:rsidRPr="00CD459A">
        <w:rPr>
          <w:rFonts w:ascii="Verdana" w:hAnsi="Verdana" w:cs="Arial"/>
        </w:rPr>
        <w:t>DINÁMICA</w:t>
      </w:r>
    </w:p>
    <w:p w14:paraId="60EA567C" w14:textId="77777777" w:rsidR="007C7EF4" w:rsidRPr="00CD459A" w:rsidRDefault="007C7EF4" w:rsidP="007C7EF4">
      <w:pPr>
        <w:spacing w:before="11"/>
        <w:jc w:val="both"/>
        <w:rPr>
          <w:rFonts w:ascii="Verdana" w:hAnsi="Verdana" w:cs="Arial"/>
          <w:bCs/>
        </w:rPr>
      </w:pPr>
    </w:p>
    <w:p w14:paraId="1904AFA9" w14:textId="77777777" w:rsidR="007C7EF4" w:rsidRPr="00CD459A" w:rsidRDefault="007C7EF4" w:rsidP="007C7EF4">
      <w:pPr>
        <w:jc w:val="both"/>
        <w:rPr>
          <w:rFonts w:ascii="Verdana" w:hAnsi="Verdana" w:cs="Arial"/>
        </w:rPr>
      </w:pPr>
      <w:r w:rsidRPr="00CD459A">
        <w:rPr>
          <w:rFonts w:ascii="Verdana" w:hAnsi="Verdana" w:cs="Arial"/>
        </w:rPr>
        <w:t>SE DEBITA</w:t>
      </w:r>
      <w:r w:rsidRPr="00CD459A">
        <w:rPr>
          <w:rFonts w:ascii="Verdana" w:hAnsi="Verdana" w:cs="Arial"/>
          <w:spacing w:val="-8"/>
        </w:rPr>
        <w:t xml:space="preserve"> </w:t>
      </w:r>
      <w:r w:rsidRPr="00CD459A">
        <w:rPr>
          <w:rFonts w:ascii="Verdana" w:hAnsi="Verdana" w:cs="Arial"/>
        </w:rPr>
        <w:t>CON:</w:t>
      </w:r>
    </w:p>
    <w:p w14:paraId="4AAE300F" w14:textId="77777777" w:rsidR="007C7EF4" w:rsidRPr="00CD459A" w:rsidRDefault="007C7EF4" w:rsidP="00AB3D96">
      <w:pPr>
        <w:pStyle w:val="Textoindependiente"/>
        <w:numPr>
          <w:ilvl w:val="0"/>
          <w:numId w:val="48"/>
        </w:numPr>
        <w:ind w:right="269"/>
        <w:rPr>
          <w:rFonts w:ascii="Verdana" w:hAnsi="Verdana" w:cs="Arial"/>
          <w:sz w:val="22"/>
          <w:szCs w:val="22"/>
        </w:rPr>
      </w:pPr>
      <w:r w:rsidRPr="00CD459A">
        <w:rPr>
          <w:rFonts w:ascii="Verdana" w:hAnsi="Verdana" w:cs="Arial"/>
          <w:sz w:val="22"/>
          <w:szCs w:val="22"/>
        </w:rPr>
        <w:t>El valor de los bienes y derechos retirados, con crédito a las subcuentas que identifican los bienes y derechos que se deben retirar de los saldos contables.</w:t>
      </w:r>
    </w:p>
    <w:p w14:paraId="17768B8A" w14:textId="77777777" w:rsidR="007C7EF4" w:rsidRPr="00CD459A" w:rsidRDefault="007C7EF4" w:rsidP="007C7EF4">
      <w:pPr>
        <w:spacing w:before="3"/>
        <w:jc w:val="both"/>
        <w:rPr>
          <w:rFonts w:ascii="Verdana" w:hAnsi="Verdana" w:cs="Arial"/>
        </w:rPr>
      </w:pPr>
    </w:p>
    <w:p w14:paraId="39D3E9AD" w14:textId="77777777" w:rsidR="007C7EF4" w:rsidRPr="00CD459A" w:rsidRDefault="007C7EF4" w:rsidP="007C7EF4">
      <w:pPr>
        <w:jc w:val="both"/>
        <w:rPr>
          <w:rFonts w:ascii="Verdana" w:hAnsi="Verdana" w:cs="Arial"/>
          <w:bCs/>
        </w:rPr>
      </w:pPr>
      <w:r w:rsidRPr="00CD459A">
        <w:rPr>
          <w:rFonts w:ascii="Verdana" w:hAnsi="Verdana" w:cs="Arial"/>
        </w:rPr>
        <w:t>SE ACREDITA</w:t>
      </w:r>
      <w:r w:rsidRPr="00CD459A">
        <w:rPr>
          <w:rFonts w:ascii="Verdana" w:hAnsi="Verdana" w:cs="Arial"/>
          <w:spacing w:val="-6"/>
        </w:rPr>
        <w:t xml:space="preserve"> </w:t>
      </w:r>
      <w:r w:rsidRPr="00CD459A">
        <w:rPr>
          <w:rFonts w:ascii="Verdana" w:hAnsi="Verdana" w:cs="Arial"/>
        </w:rPr>
        <w:t>CON:</w:t>
      </w:r>
    </w:p>
    <w:p w14:paraId="69AF2020" w14:textId="77777777" w:rsidR="007C7EF4" w:rsidRPr="00CD459A" w:rsidRDefault="007C7EF4" w:rsidP="00AB3D96">
      <w:pPr>
        <w:pStyle w:val="Textoindependiente"/>
        <w:numPr>
          <w:ilvl w:val="0"/>
          <w:numId w:val="47"/>
        </w:numPr>
        <w:ind w:right="269"/>
        <w:rPr>
          <w:rFonts w:ascii="Verdana" w:hAnsi="Verdana" w:cs="Arial"/>
          <w:sz w:val="22"/>
          <w:szCs w:val="22"/>
        </w:rPr>
      </w:pPr>
      <w:r w:rsidRPr="00CD459A">
        <w:rPr>
          <w:rFonts w:ascii="Verdana" w:hAnsi="Verdana" w:cs="Arial"/>
          <w:sz w:val="22"/>
          <w:szCs w:val="22"/>
        </w:rPr>
        <w:t>El valor de los bienes y derechos incorporados, con debito a las subcuentas que identifican los bienes y derechos que se deben incorporar contablemente.</w:t>
      </w:r>
    </w:p>
    <w:p w14:paraId="7E70672E" w14:textId="77777777" w:rsidR="007C7EF4" w:rsidRPr="00CD459A" w:rsidRDefault="007C7EF4" w:rsidP="007C7EF4">
      <w:pPr>
        <w:suppressLineNumbers/>
        <w:tabs>
          <w:tab w:val="left" w:pos="-720"/>
        </w:tabs>
        <w:ind w:left="284" w:hanging="284"/>
        <w:jc w:val="both"/>
        <w:rPr>
          <w:rFonts w:ascii="Verdana" w:hAnsi="Verdana" w:cs="Arial"/>
        </w:rPr>
      </w:pPr>
    </w:p>
    <w:tbl>
      <w:tblPr>
        <w:tblW w:w="8707" w:type="dxa"/>
        <w:tblInd w:w="177" w:type="dxa"/>
        <w:tblLayout w:type="fixed"/>
        <w:tblCellMar>
          <w:left w:w="0" w:type="dxa"/>
          <w:right w:w="0" w:type="dxa"/>
        </w:tblCellMar>
        <w:tblLook w:val="01E0" w:firstRow="1" w:lastRow="1" w:firstColumn="1" w:lastColumn="1" w:noHBand="0" w:noVBand="0"/>
      </w:tblPr>
      <w:tblGrid>
        <w:gridCol w:w="1948"/>
        <w:gridCol w:w="3340"/>
        <w:gridCol w:w="3419"/>
      </w:tblGrid>
      <w:tr w:rsidR="00CD459A" w:rsidRPr="00CD459A" w14:paraId="3F0A7A0C" w14:textId="77777777" w:rsidTr="003B74CE">
        <w:trPr>
          <w:trHeight w:hRule="exact" w:val="488"/>
        </w:trPr>
        <w:tc>
          <w:tcPr>
            <w:tcW w:w="1948" w:type="dxa"/>
            <w:tcBorders>
              <w:top w:val="single" w:sz="4" w:space="0" w:color="000000"/>
              <w:left w:val="single" w:sz="4" w:space="0" w:color="000000"/>
              <w:bottom w:val="single" w:sz="4" w:space="0" w:color="000000"/>
              <w:right w:val="single" w:sz="4" w:space="0" w:color="000000"/>
            </w:tcBorders>
            <w:shd w:val="clear" w:color="auto" w:fill="auto"/>
          </w:tcPr>
          <w:p w14:paraId="39333DB5" w14:textId="77777777" w:rsidR="007C7EF4" w:rsidRPr="00CD459A" w:rsidRDefault="007C7EF4" w:rsidP="003B74CE">
            <w:pPr>
              <w:pStyle w:val="TableParagraph"/>
              <w:spacing w:before="81"/>
              <w:ind w:right="719"/>
              <w:jc w:val="right"/>
              <w:rPr>
                <w:rFonts w:ascii="Verdana" w:hAnsi="Verdana" w:cs="Arial"/>
                <w:b/>
                <w:bCs/>
              </w:rPr>
            </w:pPr>
            <w:r w:rsidRPr="00CD459A">
              <w:rPr>
                <w:rFonts w:ascii="Verdana" w:hAnsi="Verdana" w:cs="Arial"/>
                <w:b/>
                <w:bCs/>
              </w:rPr>
              <w:t>CLASE</w:t>
            </w:r>
          </w:p>
        </w:tc>
        <w:tc>
          <w:tcPr>
            <w:tcW w:w="3340" w:type="dxa"/>
            <w:tcBorders>
              <w:top w:val="single" w:sz="4" w:space="0" w:color="000000"/>
              <w:left w:val="single" w:sz="4" w:space="0" w:color="000000"/>
              <w:bottom w:val="single" w:sz="4" w:space="0" w:color="000000"/>
              <w:right w:val="single" w:sz="4" w:space="0" w:color="000000"/>
            </w:tcBorders>
            <w:shd w:val="clear" w:color="auto" w:fill="auto"/>
          </w:tcPr>
          <w:p w14:paraId="7DD3151A" w14:textId="77777777" w:rsidR="007C7EF4" w:rsidRPr="00CD459A" w:rsidRDefault="007C7EF4" w:rsidP="003B74CE">
            <w:pPr>
              <w:pStyle w:val="TableParagraph"/>
              <w:spacing w:before="81"/>
              <w:ind w:right="1369"/>
              <w:jc w:val="right"/>
              <w:rPr>
                <w:rFonts w:ascii="Verdana" w:hAnsi="Verdana" w:cs="Arial"/>
                <w:b/>
                <w:bCs/>
              </w:rPr>
            </w:pPr>
            <w:r w:rsidRPr="00CD459A">
              <w:rPr>
                <w:rFonts w:ascii="Verdana" w:hAnsi="Verdana" w:cs="Arial"/>
                <w:b/>
                <w:bCs/>
              </w:rPr>
              <w:t>GRUPO</w:t>
            </w:r>
          </w:p>
        </w:tc>
        <w:tc>
          <w:tcPr>
            <w:tcW w:w="3419" w:type="dxa"/>
            <w:tcBorders>
              <w:top w:val="single" w:sz="4" w:space="0" w:color="000000"/>
              <w:left w:val="single" w:sz="4" w:space="0" w:color="000000"/>
              <w:bottom w:val="single" w:sz="4" w:space="0" w:color="000000"/>
              <w:right w:val="single" w:sz="4" w:space="0" w:color="000000"/>
            </w:tcBorders>
            <w:shd w:val="clear" w:color="auto" w:fill="auto"/>
          </w:tcPr>
          <w:p w14:paraId="25DD8A2C" w14:textId="77777777" w:rsidR="007C7EF4" w:rsidRPr="00CD459A" w:rsidRDefault="007C7EF4" w:rsidP="003B74CE">
            <w:pPr>
              <w:pStyle w:val="TableParagraph"/>
              <w:spacing w:before="81"/>
              <w:ind w:right="1370"/>
              <w:jc w:val="right"/>
              <w:rPr>
                <w:rFonts w:ascii="Verdana" w:hAnsi="Verdana" w:cs="Arial"/>
                <w:b/>
                <w:bCs/>
              </w:rPr>
            </w:pPr>
            <w:r w:rsidRPr="00CD459A">
              <w:rPr>
                <w:rFonts w:ascii="Verdana" w:hAnsi="Verdana" w:cs="Arial"/>
                <w:b/>
                <w:bCs/>
              </w:rPr>
              <w:t>CUENTA</w:t>
            </w:r>
          </w:p>
        </w:tc>
      </w:tr>
      <w:tr w:rsidR="00CD459A" w:rsidRPr="00CD459A" w14:paraId="1D2F7C07" w14:textId="77777777" w:rsidTr="003B74CE">
        <w:trPr>
          <w:trHeight w:hRule="exact" w:val="410"/>
        </w:trPr>
        <w:tc>
          <w:tcPr>
            <w:tcW w:w="1948" w:type="dxa"/>
            <w:tcBorders>
              <w:top w:val="single" w:sz="4" w:space="0" w:color="000000"/>
              <w:left w:val="single" w:sz="4" w:space="0" w:color="000000"/>
              <w:bottom w:val="single" w:sz="4" w:space="0" w:color="000000"/>
              <w:right w:val="single" w:sz="4" w:space="0" w:color="000000"/>
            </w:tcBorders>
            <w:shd w:val="clear" w:color="auto" w:fill="auto"/>
          </w:tcPr>
          <w:p w14:paraId="0FF903D1"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3</w:t>
            </w:r>
          </w:p>
        </w:tc>
        <w:tc>
          <w:tcPr>
            <w:tcW w:w="3340" w:type="dxa"/>
            <w:tcBorders>
              <w:top w:val="single" w:sz="4" w:space="0" w:color="000000"/>
              <w:left w:val="single" w:sz="4" w:space="0" w:color="000000"/>
              <w:bottom w:val="single" w:sz="4" w:space="0" w:color="000000"/>
              <w:right w:val="single" w:sz="4" w:space="0" w:color="000000"/>
            </w:tcBorders>
            <w:shd w:val="clear" w:color="auto" w:fill="auto"/>
          </w:tcPr>
          <w:p w14:paraId="5F141A27"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31</w:t>
            </w:r>
          </w:p>
        </w:tc>
        <w:tc>
          <w:tcPr>
            <w:tcW w:w="3419" w:type="dxa"/>
            <w:tcBorders>
              <w:top w:val="single" w:sz="4" w:space="0" w:color="000000"/>
              <w:left w:val="single" w:sz="4" w:space="0" w:color="000000"/>
              <w:bottom w:val="single" w:sz="4" w:space="0" w:color="000000"/>
              <w:right w:val="single" w:sz="4" w:space="0" w:color="000000"/>
            </w:tcBorders>
            <w:shd w:val="clear" w:color="auto" w:fill="auto"/>
          </w:tcPr>
          <w:p w14:paraId="213C30F9"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rPr>
              <w:t>314515</w:t>
            </w:r>
          </w:p>
        </w:tc>
      </w:tr>
      <w:tr w:rsidR="00CD459A" w:rsidRPr="00CD459A" w14:paraId="34F1F9AC" w14:textId="77777777" w:rsidTr="003B74CE">
        <w:trPr>
          <w:trHeight w:hRule="exact" w:val="920"/>
        </w:trPr>
        <w:tc>
          <w:tcPr>
            <w:tcW w:w="1948" w:type="dxa"/>
            <w:tcBorders>
              <w:top w:val="single" w:sz="4" w:space="0" w:color="000000"/>
              <w:left w:val="single" w:sz="4" w:space="0" w:color="000000"/>
              <w:bottom w:val="single" w:sz="4" w:space="0" w:color="000000"/>
              <w:right w:val="single" w:sz="4" w:space="0" w:color="000000"/>
            </w:tcBorders>
            <w:shd w:val="clear" w:color="auto" w:fill="auto"/>
          </w:tcPr>
          <w:p w14:paraId="41B5DB87" w14:textId="77777777" w:rsidR="007C7EF4" w:rsidRPr="00CD459A" w:rsidRDefault="007C7EF4" w:rsidP="003B74CE">
            <w:pPr>
              <w:pStyle w:val="TableParagraph"/>
              <w:spacing w:before="81"/>
              <w:ind w:left="103" w:right="83"/>
              <w:jc w:val="both"/>
              <w:rPr>
                <w:rFonts w:ascii="Verdana" w:hAnsi="Verdana" w:cs="Arial"/>
              </w:rPr>
            </w:pPr>
            <w:r w:rsidRPr="00CD459A">
              <w:rPr>
                <w:rFonts w:ascii="Verdana" w:hAnsi="Verdana" w:cs="Arial"/>
              </w:rPr>
              <w:t>PATRIMONIO</w:t>
            </w:r>
          </w:p>
        </w:tc>
        <w:tc>
          <w:tcPr>
            <w:tcW w:w="3340" w:type="dxa"/>
            <w:tcBorders>
              <w:top w:val="single" w:sz="4" w:space="0" w:color="000000"/>
              <w:left w:val="single" w:sz="4" w:space="0" w:color="000000"/>
              <w:bottom w:val="single" w:sz="4" w:space="0" w:color="000000"/>
              <w:right w:val="single" w:sz="4" w:space="0" w:color="000000"/>
            </w:tcBorders>
            <w:shd w:val="clear" w:color="auto" w:fill="auto"/>
          </w:tcPr>
          <w:p w14:paraId="78B3B2B7" w14:textId="77777777" w:rsidR="007C7EF4" w:rsidRPr="00CD459A" w:rsidRDefault="007C7EF4" w:rsidP="003B74CE">
            <w:pPr>
              <w:pStyle w:val="TableParagraph"/>
              <w:spacing w:before="80"/>
              <w:ind w:left="103" w:right="349"/>
              <w:jc w:val="both"/>
              <w:rPr>
                <w:rFonts w:ascii="Verdana" w:hAnsi="Verdana" w:cs="Arial"/>
                <w:lang w:val="es-CO"/>
              </w:rPr>
            </w:pPr>
            <w:r w:rsidRPr="00CD459A">
              <w:rPr>
                <w:rFonts w:ascii="Verdana" w:hAnsi="Verdana" w:cs="Arial"/>
                <w:lang w:val="es-CO"/>
              </w:rPr>
              <w:t>PATRIMONIO DE LAS ENTIDADES DEL</w:t>
            </w:r>
            <w:r w:rsidRPr="00CD459A">
              <w:rPr>
                <w:rFonts w:ascii="Verdana" w:hAnsi="Verdana" w:cs="Arial"/>
                <w:spacing w:val="-3"/>
                <w:lang w:val="es-CO"/>
              </w:rPr>
              <w:t xml:space="preserve"> </w:t>
            </w:r>
            <w:r w:rsidRPr="00CD459A">
              <w:rPr>
                <w:rFonts w:ascii="Verdana" w:hAnsi="Verdana" w:cs="Arial"/>
                <w:lang w:val="es-CO"/>
              </w:rPr>
              <w:t>GOBIERNO</w:t>
            </w:r>
          </w:p>
        </w:tc>
        <w:tc>
          <w:tcPr>
            <w:tcW w:w="3419" w:type="dxa"/>
            <w:tcBorders>
              <w:top w:val="single" w:sz="4" w:space="0" w:color="000000"/>
              <w:left w:val="single" w:sz="4" w:space="0" w:color="000000"/>
              <w:bottom w:val="single" w:sz="4" w:space="0" w:color="000000"/>
              <w:right w:val="single" w:sz="4" w:space="0" w:color="000000"/>
            </w:tcBorders>
            <w:shd w:val="clear" w:color="auto" w:fill="auto"/>
          </w:tcPr>
          <w:p w14:paraId="20DC0D2B" w14:textId="77777777" w:rsidR="007C7EF4" w:rsidRPr="00CD459A" w:rsidRDefault="007C7EF4" w:rsidP="003B74CE">
            <w:pPr>
              <w:pStyle w:val="TableParagraph"/>
              <w:spacing w:before="80"/>
              <w:ind w:left="100" w:right="200"/>
              <w:jc w:val="both"/>
              <w:rPr>
                <w:rFonts w:ascii="Verdana" w:hAnsi="Verdana" w:cs="Arial"/>
              </w:rPr>
            </w:pPr>
            <w:r w:rsidRPr="00CD459A">
              <w:rPr>
                <w:rFonts w:ascii="Verdana" w:hAnsi="Verdana" w:cs="Arial"/>
              </w:rPr>
              <w:t>CUENTAS POR PAGAR</w:t>
            </w:r>
          </w:p>
        </w:tc>
      </w:tr>
    </w:tbl>
    <w:p w14:paraId="4204072A" w14:textId="77777777" w:rsidR="007C7EF4" w:rsidRPr="00CD459A" w:rsidRDefault="007C7EF4" w:rsidP="007C7EF4">
      <w:pPr>
        <w:spacing w:before="3"/>
        <w:jc w:val="both"/>
        <w:rPr>
          <w:rFonts w:ascii="Verdana" w:hAnsi="Verdana" w:cs="Arial"/>
        </w:rPr>
      </w:pPr>
    </w:p>
    <w:p w14:paraId="2F939B45"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rPr>
        <w:t>DESCRIPCIÓN</w:t>
      </w:r>
    </w:p>
    <w:p w14:paraId="58FC47E6" w14:textId="77777777" w:rsidR="007C7EF4" w:rsidRPr="00CD459A" w:rsidRDefault="007C7EF4" w:rsidP="007C7EF4">
      <w:pPr>
        <w:pStyle w:val="Textoindependiente"/>
        <w:widowControl/>
        <w:rPr>
          <w:rFonts w:ascii="Verdana" w:hAnsi="Verdana" w:cs="Arial"/>
          <w:sz w:val="22"/>
          <w:szCs w:val="22"/>
          <w:lang w:val="es-ES_tradnl"/>
        </w:rPr>
      </w:pPr>
      <w:r w:rsidRPr="00CD459A">
        <w:rPr>
          <w:rFonts w:ascii="Verdana" w:hAnsi="Verdana" w:cs="Arial"/>
          <w:sz w:val="22"/>
          <w:szCs w:val="22"/>
          <w:lang w:val="es-ES_tradnl"/>
        </w:rPr>
        <w:t>El saldo de esta cuenta es contrario a su naturaleza debido a que los valores distribuido no girados por el DNP que a diciembre de 2017 no estaban reconocidos contablemente como obligaciones del Sistema General de Regalías por disposición del modelo contable definido en la resolución 139 de 2012 que aplicó hasta diciembre de 2017 y que a partir del año 2018 con la implementación del modelo contable definido en la resolución 470 de 2016 se deben reconocer como obligaciones-. El otro componente de este saldo corresponde a los pasivos retirados del SGR por concepto de obligaciones que se deben retirar de la contabilidad del SGR para ser incorporadas por los órganos del sistema por concepto de descuentos pendientes de giro, gastos de fiscalización, gastos por monitoreo seguimiento control y evaluación y gastos de funcionamiento.</w:t>
      </w:r>
    </w:p>
    <w:p w14:paraId="615F1BB8" w14:textId="77777777" w:rsidR="007C7EF4" w:rsidRPr="00CD459A" w:rsidRDefault="007C7EF4" w:rsidP="007C7EF4">
      <w:pPr>
        <w:spacing w:before="11"/>
        <w:jc w:val="both"/>
        <w:rPr>
          <w:rFonts w:ascii="Verdana" w:hAnsi="Verdana" w:cs="Arial"/>
          <w:lang w:val="es-ES_tradnl"/>
        </w:rPr>
      </w:pPr>
    </w:p>
    <w:p w14:paraId="18B7418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10C7DFC0" w14:textId="77777777" w:rsidR="007C7EF4" w:rsidRPr="00CD459A" w:rsidRDefault="007C7EF4" w:rsidP="007C7EF4">
      <w:pPr>
        <w:pStyle w:val="Textoindependiente"/>
        <w:widowControl/>
        <w:rPr>
          <w:rFonts w:ascii="Verdana" w:hAnsi="Verdana" w:cs="Arial"/>
          <w:sz w:val="22"/>
          <w:szCs w:val="22"/>
          <w:lang w:val="es-ES_tradnl"/>
        </w:rPr>
      </w:pPr>
      <w:r w:rsidRPr="00CD459A">
        <w:rPr>
          <w:rFonts w:ascii="Verdana" w:hAnsi="Verdana" w:cs="Arial"/>
          <w:sz w:val="22"/>
          <w:szCs w:val="22"/>
          <w:lang w:val="es-ES_tradnl"/>
        </w:rPr>
        <w:t>Los ajustes por convergencia se realizan por el valor que representaban las obligaciones por concepto del valor distribuido no girado a diciembre 31 de 2017 que no estaba reconocido  en los estados financieros del Sistema General de Regalías a 31 de diciembre de 2017, también por el valor  de las obligaciones que se deben retirar de la contabilidad del SGR para ser incorporadas por los órganos del sistema por concepto de descuentos pendientes de giro, gastos de fiscalización, gastos por monitoreo seguimiento control y evaluación y gastos de funcionamiento.</w:t>
      </w:r>
    </w:p>
    <w:p w14:paraId="5EDF8DD5" w14:textId="77777777" w:rsidR="007C7EF4" w:rsidRPr="00CD459A" w:rsidRDefault="007C7EF4" w:rsidP="007C7EF4">
      <w:pPr>
        <w:autoSpaceDE w:val="0"/>
        <w:autoSpaceDN w:val="0"/>
        <w:adjustRightInd w:val="0"/>
        <w:jc w:val="both"/>
        <w:rPr>
          <w:rFonts w:ascii="Verdana" w:hAnsi="Verdana" w:cs="Arial"/>
          <w:lang w:val="es-ES_tradnl"/>
        </w:rPr>
      </w:pPr>
    </w:p>
    <w:p w14:paraId="6C739861"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70C7F9DC" w14:textId="77777777" w:rsidR="007C7EF4" w:rsidRPr="00CD459A" w:rsidRDefault="007C7EF4" w:rsidP="007C7EF4">
      <w:pPr>
        <w:spacing w:before="11"/>
        <w:jc w:val="both"/>
        <w:rPr>
          <w:rFonts w:ascii="Verdana" w:hAnsi="Verdana" w:cs="Arial"/>
          <w:lang w:val="es-ES_tradnl"/>
        </w:rPr>
      </w:pPr>
      <w:r w:rsidRPr="00CD459A">
        <w:rPr>
          <w:rFonts w:ascii="Verdana" w:hAnsi="Verdana" w:cs="Arial"/>
          <w:lang w:val="es-ES_tradnl"/>
        </w:rPr>
        <w:t xml:space="preserve">El saldo de esta cuenta se revela indicando los conceptos de las obligaciones por el valor distribuido no girado a diciembre de 2017 que se debieron incorporar en la contabilidad del Sistema general de Regalías y también las obligaciones que fueron retiradas de la contabilidad del Sistema General de Regalías y que deben ser incorporados pro los órganos del sistema. </w:t>
      </w:r>
    </w:p>
    <w:p w14:paraId="42C96DF3" w14:textId="77777777" w:rsidR="007C7EF4" w:rsidRPr="00CD459A" w:rsidRDefault="007C7EF4" w:rsidP="007C7EF4">
      <w:pPr>
        <w:spacing w:before="1"/>
        <w:jc w:val="both"/>
        <w:rPr>
          <w:rFonts w:ascii="Verdana" w:hAnsi="Verdana" w:cs="Arial"/>
          <w:lang w:val="es-ES_tradnl"/>
        </w:rPr>
      </w:pPr>
    </w:p>
    <w:p w14:paraId="448BD506" w14:textId="77777777" w:rsidR="007C7EF4" w:rsidRPr="00CD459A" w:rsidRDefault="007C7EF4" w:rsidP="007C7EF4">
      <w:pPr>
        <w:jc w:val="both"/>
        <w:rPr>
          <w:rFonts w:ascii="Verdana" w:hAnsi="Verdana" w:cs="Arial"/>
          <w:bCs/>
        </w:rPr>
      </w:pPr>
      <w:r w:rsidRPr="00CD459A">
        <w:rPr>
          <w:rFonts w:ascii="Verdana" w:hAnsi="Verdana" w:cs="Arial"/>
        </w:rPr>
        <w:t>DINÁMICA</w:t>
      </w:r>
    </w:p>
    <w:p w14:paraId="4378278A" w14:textId="77777777" w:rsidR="007C7EF4" w:rsidRPr="00CD459A" w:rsidRDefault="007C7EF4" w:rsidP="007C7EF4">
      <w:pPr>
        <w:spacing w:before="11"/>
        <w:jc w:val="both"/>
        <w:rPr>
          <w:rFonts w:ascii="Verdana" w:hAnsi="Verdana" w:cs="Arial"/>
          <w:bCs/>
        </w:rPr>
      </w:pPr>
    </w:p>
    <w:p w14:paraId="7391A33C" w14:textId="77777777" w:rsidR="007C7EF4" w:rsidRPr="00CD459A" w:rsidRDefault="007C7EF4" w:rsidP="007C7EF4">
      <w:pPr>
        <w:jc w:val="both"/>
        <w:rPr>
          <w:rFonts w:ascii="Verdana" w:hAnsi="Verdana" w:cs="Arial"/>
        </w:rPr>
      </w:pPr>
      <w:r w:rsidRPr="00CD459A">
        <w:rPr>
          <w:rFonts w:ascii="Verdana" w:hAnsi="Verdana" w:cs="Arial"/>
        </w:rPr>
        <w:t>SE DEBITA</w:t>
      </w:r>
      <w:r w:rsidRPr="00CD459A">
        <w:rPr>
          <w:rFonts w:ascii="Verdana" w:hAnsi="Verdana" w:cs="Arial"/>
          <w:spacing w:val="-8"/>
        </w:rPr>
        <w:t xml:space="preserve"> </w:t>
      </w:r>
      <w:r w:rsidRPr="00CD459A">
        <w:rPr>
          <w:rFonts w:ascii="Verdana" w:hAnsi="Verdana" w:cs="Arial"/>
        </w:rPr>
        <w:t>CON:</w:t>
      </w:r>
    </w:p>
    <w:p w14:paraId="3530274A" w14:textId="77777777" w:rsidR="007C7EF4" w:rsidRPr="00CD459A" w:rsidRDefault="007C7EF4" w:rsidP="007C7EF4">
      <w:pPr>
        <w:spacing w:before="1"/>
        <w:jc w:val="both"/>
        <w:rPr>
          <w:rFonts w:ascii="Verdana" w:hAnsi="Verdana" w:cs="Arial"/>
          <w:bCs/>
        </w:rPr>
      </w:pPr>
    </w:p>
    <w:p w14:paraId="13600A57" w14:textId="77777777" w:rsidR="007C7EF4" w:rsidRDefault="007C7EF4" w:rsidP="00AB3D96">
      <w:pPr>
        <w:pStyle w:val="Textoindependiente"/>
        <w:numPr>
          <w:ilvl w:val="0"/>
          <w:numId w:val="50"/>
        </w:numPr>
        <w:ind w:right="269"/>
        <w:rPr>
          <w:rFonts w:ascii="Verdana" w:hAnsi="Verdana" w:cs="Arial"/>
          <w:sz w:val="22"/>
          <w:szCs w:val="22"/>
        </w:rPr>
      </w:pPr>
      <w:r w:rsidRPr="00CD459A">
        <w:rPr>
          <w:rFonts w:ascii="Verdana" w:hAnsi="Verdana" w:cs="Arial"/>
          <w:sz w:val="22"/>
          <w:szCs w:val="22"/>
        </w:rPr>
        <w:t xml:space="preserve"> El valor de las obligaciones incorporadas, con crédito a las subcuentas que identifican las obligaciones que se deben incorporar contablemente.</w:t>
      </w:r>
    </w:p>
    <w:p w14:paraId="4BC21592" w14:textId="77777777" w:rsidR="00355F8E" w:rsidRPr="00CD459A" w:rsidRDefault="00355F8E" w:rsidP="00355F8E">
      <w:pPr>
        <w:pStyle w:val="Textoindependiente"/>
        <w:ind w:left="644" w:right="269"/>
        <w:rPr>
          <w:rFonts w:ascii="Verdana" w:hAnsi="Verdana" w:cs="Arial"/>
          <w:sz w:val="22"/>
          <w:szCs w:val="22"/>
        </w:rPr>
      </w:pPr>
    </w:p>
    <w:p w14:paraId="667977E1" w14:textId="77777777" w:rsidR="007C7EF4" w:rsidRPr="00CD459A" w:rsidRDefault="007C7EF4" w:rsidP="007C7EF4">
      <w:pPr>
        <w:pStyle w:val="Textoindependiente"/>
        <w:ind w:left="644" w:right="269"/>
        <w:rPr>
          <w:rFonts w:ascii="Verdana" w:hAnsi="Verdana" w:cs="Arial"/>
          <w:sz w:val="22"/>
          <w:szCs w:val="22"/>
        </w:rPr>
      </w:pPr>
    </w:p>
    <w:p w14:paraId="5CF8EF7E" w14:textId="77777777" w:rsidR="007C7EF4" w:rsidRPr="00CD459A" w:rsidRDefault="007C7EF4" w:rsidP="007C7EF4">
      <w:pPr>
        <w:jc w:val="both"/>
        <w:rPr>
          <w:rFonts w:ascii="Verdana" w:hAnsi="Verdana" w:cs="Arial"/>
        </w:rPr>
      </w:pPr>
      <w:r w:rsidRPr="00CD459A">
        <w:rPr>
          <w:rFonts w:ascii="Verdana" w:hAnsi="Verdana" w:cs="Arial"/>
        </w:rPr>
        <w:t>SE ACREDITA CON:</w:t>
      </w:r>
    </w:p>
    <w:p w14:paraId="46CF3220" w14:textId="77777777" w:rsidR="007C7EF4" w:rsidRPr="00CD459A" w:rsidRDefault="007C7EF4" w:rsidP="00AB3D96">
      <w:pPr>
        <w:pStyle w:val="Textoindependiente"/>
        <w:numPr>
          <w:ilvl w:val="0"/>
          <w:numId w:val="49"/>
        </w:numPr>
        <w:ind w:right="269"/>
        <w:rPr>
          <w:rFonts w:ascii="Verdana" w:hAnsi="Verdana" w:cs="Arial"/>
          <w:sz w:val="22"/>
          <w:szCs w:val="22"/>
        </w:rPr>
      </w:pPr>
      <w:r w:rsidRPr="00CD459A">
        <w:rPr>
          <w:rFonts w:ascii="Verdana" w:hAnsi="Verdana" w:cs="Arial"/>
          <w:sz w:val="22"/>
          <w:szCs w:val="22"/>
        </w:rPr>
        <w:t>El valor de las obligaciones retiradas, con debito a las subcuentas que identifican las obligaciones que se deben retiradas de los saldos contables.</w:t>
      </w:r>
    </w:p>
    <w:p w14:paraId="15C2D8FC" w14:textId="77777777" w:rsidR="007C7EF4" w:rsidRPr="00CD459A" w:rsidRDefault="007C7EF4" w:rsidP="007C7EF4">
      <w:pPr>
        <w:suppressLineNumbers/>
        <w:tabs>
          <w:tab w:val="left" w:pos="-720"/>
        </w:tabs>
        <w:ind w:left="284" w:hanging="284"/>
        <w:jc w:val="both"/>
        <w:rPr>
          <w:rFonts w:ascii="Verdana" w:hAnsi="Verdana" w:cs="Arial"/>
        </w:rPr>
      </w:pPr>
    </w:p>
    <w:p w14:paraId="6F0AE97A"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color w:val="auto"/>
          <w:sz w:val="22"/>
          <w:szCs w:val="22"/>
        </w:rPr>
      </w:pPr>
      <w:bookmarkStart w:id="787" w:name="_Toc62483989"/>
      <w:bookmarkStart w:id="788" w:name="_Toc94710275"/>
      <w:r w:rsidRPr="00CD459A">
        <w:rPr>
          <w:rFonts w:ascii="Verdana" w:hAnsi="Verdana" w:cs="Arial"/>
          <w:color w:val="auto"/>
          <w:sz w:val="22"/>
          <w:szCs w:val="22"/>
        </w:rPr>
        <w:t>INGRESOS</w:t>
      </w:r>
      <w:bookmarkEnd w:id="787"/>
      <w:bookmarkEnd w:id="788"/>
      <w:r w:rsidRPr="00CD459A">
        <w:rPr>
          <w:rFonts w:ascii="Verdana" w:hAnsi="Verdana" w:cs="Arial"/>
          <w:color w:val="auto"/>
          <w:sz w:val="22"/>
          <w:szCs w:val="22"/>
        </w:rPr>
        <w:t xml:space="preserve"> </w:t>
      </w:r>
    </w:p>
    <w:p w14:paraId="10ABD46D" w14:textId="77777777" w:rsidR="007C7EF4" w:rsidRPr="00CD459A" w:rsidRDefault="007C7EF4" w:rsidP="007C7EF4">
      <w:pPr>
        <w:suppressLineNumbers/>
        <w:tabs>
          <w:tab w:val="left" w:pos="-720"/>
        </w:tabs>
        <w:ind w:left="284" w:hanging="284"/>
        <w:jc w:val="both"/>
        <w:rPr>
          <w:rFonts w:ascii="Verdana" w:hAnsi="Verdana" w:cs="Arial"/>
        </w:rPr>
      </w:pPr>
    </w:p>
    <w:tbl>
      <w:tblPr>
        <w:tblW w:w="0" w:type="auto"/>
        <w:tblBorders>
          <w:top w:val="single" w:sz="4" w:space="0" w:color="7F7F7F"/>
          <w:bottom w:val="single" w:sz="4" w:space="0" w:color="7F7F7F"/>
        </w:tblBorders>
        <w:tblLayout w:type="fixed"/>
        <w:tblLook w:val="0000" w:firstRow="0" w:lastRow="0" w:firstColumn="0" w:lastColumn="0" w:noHBand="0" w:noVBand="0"/>
      </w:tblPr>
      <w:tblGrid>
        <w:gridCol w:w="1984"/>
        <w:gridCol w:w="3413"/>
        <w:gridCol w:w="3482"/>
      </w:tblGrid>
      <w:tr w:rsidR="00CD459A" w:rsidRPr="00CD459A" w14:paraId="40884E7C" w14:textId="77777777" w:rsidTr="003B74CE">
        <w:tc>
          <w:tcPr>
            <w:tcW w:w="1984" w:type="dxa"/>
            <w:tcBorders>
              <w:top w:val="single" w:sz="4" w:space="0" w:color="7F7F7F"/>
              <w:left w:val="single" w:sz="4" w:space="0" w:color="7F7F7F"/>
              <w:bottom w:val="single" w:sz="4" w:space="0" w:color="7F7F7F"/>
              <w:right w:val="single" w:sz="4" w:space="0" w:color="7F7F7F"/>
            </w:tcBorders>
            <w:shd w:val="clear" w:color="auto" w:fill="auto"/>
          </w:tcPr>
          <w:p w14:paraId="2B010AA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Borders>
              <w:top w:val="single" w:sz="4" w:space="0" w:color="7F7F7F"/>
              <w:left w:val="single" w:sz="4" w:space="0" w:color="7F7F7F"/>
              <w:bottom w:val="single" w:sz="4" w:space="0" w:color="7F7F7F"/>
              <w:right w:val="single" w:sz="4" w:space="0" w:color="7F7F7F"/>
            </w:tcBorders>
            <w:shd w:val="clear" w:color="auto" w:fill="auto"/>
          </w:tcPr>
          <w:p w14:paraId="620367B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Borders>
              <w:top w:val="single" w:sz="4" w:space="0" w:color="7F7F7F"/>
              <w:left w:val="single" w:sz="4" w:space="0" w:color="7F7F7F"/>
              <w:bottom w:val="single" w:sz="4" w:space="0" w:color="7F7F7F"/>
              <w:right w:val="single" w:sz="4" w:space="0" w:color="7F7F7F"/>
            </w:tcBorders>
            <w:shd w:val="clear" w:color="auto" w:fill="auto"/>
          </w:tcPr>
          <w:p w14:paraId="37AE9B4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66997F6C" w14:textId="77777777" w:rsidTr="003B74CE">
        <w:tc>
          <w:tcPr>
            <w:tcW w:w="1984" w:type="dxa"/>
            <w:tcBorders>
              <w:left w:val="single" w:sz="4" w:space="0" w:color="7F7F7F"/>
              <w:right w:val="single" w:sz="4" w:space="0" w:color="7F7F7F"/>
            </w:tcBorders>
            <w:shd w:val="clear" w:color="auto" w:fill="auto"/>
          </w:tcPr>
          <w:p w14:paraId="4837B46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w:t>
            </w:r>
          </w:p>
        </w:tc>
        <w:tc>
          <w:tcPr>
            <w:tcW w:w="3413" w:type="dxa"/>
            <w:tcBorders>
              <w:left w:val="single" w:sz="4" w:space="0" w:color="7F7F7F"/>
              <w:right w:val="single" w:sz="4" w:space="0" w:color="7F7F7F"/>
            </w:tcBorders>
            <w:shd w:val="clear" w:color="auto" w:fill="auto"/>
          </w:tcPr>
          <w:p w14:paraId="1C10A697" w14:textId="77777777" w:rsidR="007C7EF4" w:rsidRPr="00CD459A" w:rsidRDefault="007C7EF4" w:rsidP="003B74CE">
            <w:pPr>
              <w:widowControl w:val="0"/>
              <w:autoSpaceDE w:val="0"/>
              <w:autoSpaceDN w:val="0"/>
              <w:adjustRightInd w:val="0"/>
              <w:jc w:val="both"/>
              <w:rPr>
                <w:rFonts w:ascii="Verdana" w:hAnsi="Verdana" w:cs="Arial"/>
              </w:rPr>
            </w:pPr>
          </w:p>
        </w:tc>
        <w:tc>
          <w:tcPr>
            <w:tcW w:w="3482" w:type="dxa"/>
            <w:tcBorders>
              <w:left w:val="single" w:sz="4" w:space="0" w:color="7F7F7F"/>
              <w:right w:val="single" w:sz="4" w:space="0" w:color="7F7F7F"/>
            </w:tcBorders>
            <w:shd w:val="clear" w:color="auto" w:fill="auto"/>
          </w:tcPr>
          <w:p w14:paraId="45D3BA29"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474CC605" w14:textId="77777777" w:rsidTr="003B74CE">
        <w:tc>
          <w:tcPr>
            <w:tcW w:w="1984" w:type="dxa"/>
            <w:tcBorders>
              <w:top w:val="single" w:sz="4" w:space="0" w:color="7F7F7F"/>
              <w:left w:val="single" w:sz="4" w:space="0" w:color="7F7F7F"/>
              <w:bottom w:val="single" w:sz="4" w:space="0" w:color="7F7F7F"/>
              <w:right w:val="single" w:sz="4" w:space="0" w:color="7F7F7F"/>
            </w:tcBorders>
            <w:shd w:val="clear" w:color="auto" w:fill="auto"/>
          </w:tcPr>
          <w:p w14:paraId="29BA4BD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w:t>
            </w:r>
          </w:p>
        </w:tc>
        <w:tc>
          <w:tcPr>
            <w:tcW w:w="3413" w:type="dxa"/>
            <w:tcBorders>
              <w:top w:val="single" w:sz="4" w:space="0" w:color="7F7F7F"/>
              <w:left w:val="single" w:sz="4" w:space="0" w:color="7F7F7F"/>
              <w:bottom w:val="single" w:sz="4" w:space="0" w:color="7F7F7F"/>
              <w:right w:val="single" w:sz="4" w:space="0" w:color="7F7F7F"/>
            </w:tcBorders>
            <w:shd w:val="clear" w:color="auto" w:fill="auto"/>
          </w:tcPr>
          <w:p w14:paraId="6AFC6FBD" w14:textId="77777777" w:rsidR="007C7EF4" w:rsidRPr="00CD459A" w:rsidRDefault="007C7EF4" w:rsidP="003B74CE">
            <w:pPr>
              <w:widowControl w:val="0"/>
              <w:autoSpaceDE w:val="0"/>
              <w:autoSpaceDN w:val="0"/>
              <w:adjustRightInd w:val="0"/>
              <w:jc w:val="both"/>
              <w:rPr>
                <w:rFonts w:ascii="Verdana" w:hAnsi="Verdana" w:cs="Arial"/>
              </w:rPr>
            </w:pPr>
          </w:p>
        </w:tc>
        <w:tc>
          <w:tcPr>
            <w:tcW w:w="3482" w:type="dxa"/>
            <w:tcBorders>
              <w:top w:val="single" w:sz="4" w:space="0" w:color="7F7F7F"/>
              <w:left w:val="single" w:sz="4" w:space="0" w:color="7F7F7F"/>
              <w:bottom w:val="single" w:sz="4" w:space="0" w:color="7F7F7F"/>
              <w:right w:val="single" w:sz="4" w:space="0" w:color="7F7F7F"/>
            </w:tcBorders>
            <w:shd w:val="clear" w:color="auto" w:fill="auto"/>
          </w:tcPr>
          <w:p w14:paraId="7157906E" w14:textId="77777777" w:rsidR="007C7EF4" w:rsidRPr="00CD459A" w:rsidRDefault="007C7EF4" w:rsidP="003B74CE">
            <w:pPr>
              <w:widowControl w:val="0"/>
              <w:autoSpaceDE w:val="0"/>
              <w:autoSpaceDN w:val="0"/>
              <w:adjustRightInd w:val="0"/>
              <w:jc w:val="both"/>
              <w:rPr>
                <w:rFonts w:ascii="Verdana" w:hAnsi="Verdana" w:cs="Arial"/>
              </w:rPr>
            </w:pPr>
          </w:p>
        </w:tc>
      </w:tr>
    </w:tbl>
    <w:p w14:paraId="6755839B" w14:textId="77777777" w:rsidR="007C7EF4" w:rsidRPr="00CD459A" w:rsidRDefault="007C7EF4" w:rsidP="007C7EF4">
      <w:pPr>
        <w:widowControl w:val="0"/>
        <w:autoSpaceDE w:val="0"/>
        <w:autoSpaceDN w:val="0"/>
        <w:adjustRightInd w:val="0"/>
        <w:jc w:val="both"/>
        <w:rPr>
          <w:rFonts w:ascii="Verdana" w:hAnsi="Verdana" w:cs="Arial"/>
        </w:rPr>
      </w:pPr>
    </w:p>
    <w:p w14:paraId="56A6D0B0"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2A3336EF"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los grupos que representan los incrementos en los beneficios económicos o en el potencial de servicio producidos a lo largo del periodo contable, bien en forma de entradas o incrementos de valor de los activos, o bien como decrementos de los pasivos, que dan como resultado aumentos del patrimonio y no están relacionados con los aportes para la creación de la entidad. Las cuentas que integran esta clase son de naturaleza crédito y surgen de transacciones con y sin contraprestación.</w:t>
      </w:r>
    </w:p>
    <w:p w14:paraId="09CF38EF" w14:textId="77777777" w:rsidR="007C7EF4" w:rsidRPr="00CD459A" w:rsidRDefault="007C7EF4" w:rsidP="007C7EF4">
      <w:pPr>
        <w:widowControl w:val="0"/>
        <w:autoSpaceDE w:val="0"/>
        <w:autoSpaceDN w:val="0"/>
        <w:adjustRightInd w:val="0"/>
        <w:jc w:val="both"/>
        <w:rPr>
          <w:rFonts w:ascii="Verdana" w:hAnsi="Verdana" w:cs="Arial"/>
        </w:rPr>
      </w:pPr>
    </w:p>
    <w:tbl>
      <w:tblPr>
        <w:tblW w:w="8923" w:type="dxa"/>
        <w:tblBorders>
          <w:top w:val="single" w:sz="4" w:space="0" w:color="7F7F7F"/>
          <w:bottom w:val="single" w:sz="4" w:space="0" w:color="7F7F7F"/>
        </w:tblBorders>
        <w:tblLayout w:type="fixed"/>
        <w:tblLook w:val="0000" w:firstRow="0" w:lastRow="0" w:firstColumn="0" w:lastColumn="0" w:noHBand="0" w:noVBand="0"/>
      </w:tblPr>
      <w:tblGrid>
        <w:gridCol w:w="1994"/>
        <w:gridCol w:w="3430"/>
        <w:gridCol w:w="3499"/>
      </w:tblGrid>
      <w:tr w:rsidR="00CD459A" w:rsidRPr="00CD459A" w14:paraId="731D3BDE" w14:textId="77777777" w:rsidTr="003B74CE">
        <w:trPr>
          <w:trHeight w:val="348"/>
        </w:trPr>
        <w:tc>
          <w:tcPr>
            <w:tcW w:w="1994" w:type="dxa"/>
            <w:tcBorders>
              <w:top w:val="single" w:sz="4" w:space="0" w:color="7F7F7F"/>
              <w:left w:val="single" w:sz="4" w:space="0" w:color="7F7F7F"/>
              <w:bottom w:val="single" w:sz="4" w:space="0" w:color="7F7F7F"/>
              <w:right w:val="single" w:sz="4" w:space="0" w:color="7F7F7F"/>
            </w:tcBorders>
            <w:shd w:val="clear" w:color="auto" w:fill="auto"/>
          </w:tcPr>
          <w:p w14:paraId="6DC7CE9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30" w:type="dxa"/>
            <w:tcBorders>
              <w:top w:val="single" w:sz="4" w:space="0" w:color="7F7F7F"/>
              <w:left w:val="single" w:sz="4" w:space="0" w:color="7F7F7F"/>
              <w:bottom w:val="single" w:sz="4" w:space="0" w:color="7F7F7F"/>
              <w:right w:val="single" w:sz="4" w:space="0" w:color="7F7F7F"/>
            </w:tcBorders>
            <w:shd w:val="clear" w:color="auto" w:fill="auto"/>
          </w:tcPr>
          <w:p w14:paraId="254D3F5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99" w:type="dxa"/>
            <w:tcBorders>
              <w:top w:val="single" w:sz="4" w:space="0" w:color="7F7F7F"/>
              <w:left w:val="single" w:sz="4" w:space="0" w:color="7F7F7F"/>
              <w:bottom w:val="single" w:sz="4" w:space="0" w:color="7F7F7F"/>
              <w:right w:val="single" w:sz="4" w:space="0" w:color="7F7F7F"/>
            </w:tcBorders>
            <w:shd w:val="clear" w:color="auto" w:fill="auto"/>
          </w:tcPr>
          <w:p w14:paraId="1F82AC6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12491298" w14:textId="77777777" w:rsidTr="003B74CE">
        <w:trPr>
          <w:trHeight w:val="327"/>
        </w:trPr>
        <w:tc>
          <w:tcPr>
            <w:tcW w:w="1994" w:type="dxa"/>
            <w:tcBorders>
              <w:left w:val="single" w:sz="4" w:space="0" w:color="7F7F7F"/>
              <w:right w:val="single" w:sz="4" w:space="0" w:color="7F7F7F"/>
            </w:tcBorders>
            <w:shd w:val="clear" w:color="auto" w:fill="auto"/>
          </w:tcPr>
          <w:p w14:paraId="438E99E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3430" w:type="dxa"/>
            <w:tcBorders>
              <w:left w:val="single" w:sz="4" w:space="0" w:color="7F7F7F"/>
              <w:right w:val="single" w:sz="4" w:space="0" w:color="7F7F7F"/>
            </w:tcBorders>
            <w:shd w:val="clear" w:color="auto" w:fill="auto"/>
          </w:tcPr>
          <w:p w14:paraId="50B3F0B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41</w:t>
            </w:r>
          </w:p>
        </w:tc>
        <w:tc>
          <w:tcPr>
            <w:tcW w:w="3499" w:type="dxa"/>
            <w:tcBorders>
              <w:left w:val="single" w:sz="4" w:space="0" w:color="7F7F7F"/>
              <w:right w:val="single" w:sz="4" w:space="0" w:color="7F7F7F"/>
            </w:tcBorders>
            <w:shd w:val="clear" w:color="auto" w:fill="auto"/>
          </w:tcPr>
          <w:p w14:paraId="222576BE"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4D0A3D0D" w14:textId="77777777" w:rsidTr="003B74CE">
        <w:trPr>
          <w:trHeight w:val="327"/>
        </w:trPr>
        <w:tc>
          <w:tcPr>
            <w:tcW w:w="1994" w:type="dxa"/>
            <w:tcBorders>
              <w:top w:val="single" w:sz="4" w:space="0" w:color="7F7F7F"/>
              <w:left w:val="single" w:sz="4" w:space="0" w:color="7F7F7F"/>
              <w:bottom w:val="single" w:sz="4" w:space="0" w:color="7F7F7F"/>
              <w:right w:val="single" w:sz="4" w:space="0" w:color="7F7F7F"/>
            </w:tcBorders>
            <w:shd w:val="clear" w:color="auto" w:fill="auto"/>
          </w:tcPr>
          <w:p w14:paraId="185B143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3430" w:type="dxa"/>
            <w:tcBorders>
              <w:top w:val="single" w:sz="4" w:space="0" w:color="7F7F7F"/>
              <w:left w:val="single" w:sz="4" w:space="0" w:color="7F7F7F"/>
              <w:bottom w:val="single" w:sz="4" w:space="0" w:color="7F7F7F"/>
              <w:right w:val="single" w:sz="4" w:space="0" w:color="7F7F7F"/>
            </w:tcBorders>
            <w:shd w:val="clear" w:color="auto" w:fill="auto"/>
          </w:tcPr>
          <w:p w14:paraId="7922F79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 FISCALES</w:t>
            </w:r>
          </w:p>
        </w:tc>
        <w:tc>
          <w:tcPr>
            <w:tcW w:w="3499" w:type="dxa"/>
            <w:tcBorders>
              <w:top w:val="single" w:sz="4" w:space="0" w:color="7F7F7F"/>
              <w:left w:val="single" w:sz="4" w:space="0" w:color="7F7F7F"/>
              <w:bottom w:val="single" w:sz="4" w:space="0" w:color="7F7F7F"/>
              <w:right w:val="single" w:sz="4" w:space="0" w:color="7F7F7F"/>
            </w:tcBorders>
            <w:shd w:val="clear" w:color="auto" w:fill="auto"/>
          </w:tcPr>
          <w:p w14:paraId="4D804600" w14:textId="77777777" w:rsidR="007C7EF4" w:rsidRPr="00CD459A" w:rsidRDefault="007C7EF4" w:rsidP="003B74CE">
            <w:pPr>
              <w:widowControl w:val="0"/>
              <w:autoSpaceDE w:val="0"/>
              <w:autoSpaceDN w:val="0"/>
              <w:adjustRightInd w:val="0"/>
              <w:jc w:val="both"/>
              <w:rPr>
                <w:rFonts w:ascii="Verdana" w:hAnsi="Verdana" w:cs="Arial"/>
              </w:rPr>
            </w:pPr>
          </w:p>
        </w:tc>
      </w:tr>
    </w:tbl>
    <w:p w14:paraId="1CD4E767" w14:textId="77777777" w:rsidR="007C7EF4" w:rsidRPr="00CD459A" w:rsidRDefault="007C7EF4" w:rsidP="007C7EF4">
      <w:pPr>
        <w:widowControl w:val="0"/>
        <w:autoSpaceDE w:val="0"/>
        <w:autoSpaceDN w:val="0"/>
        <w:adjustRightInd w:val="0"/>
        <w:jc w:val="both"/>
        <w:rPr>
          <w:rFonts w:ascii="Verdana" w:hAnsi="Verdana" w:cs="Arial"/>
        </w:rPr>
      </w:pPr>
    </w:p>
    <w:p w14:paraId="2EBE1F6E"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7C87511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las cuentas que representan los ingresos obtenidos por la entidad a través de la aplicación de las leyes que sustentan el cobro de conceptos tales como multas, sanciones, estampillas, cuotas de sostenimiento, rentas parafiscales, entre otros derivados del poder impositivo del Estado.</w:t>
      </w:r>
    </w:p>
    <w:p w14:paraId="6E3EB885" w14:textId="77777777" w:rsidR="007C7EF4" w:rsidRPr="00CD459A" w:rsidRDefault="007C7EF4" w:rsidP="007C7EF4">
      <w:pPr>
        <w:widowControl w:val="0"/>
        <w:autoSpaceDE w:val="0"/>
        <w:autoSpaceDN w:val="0"/>
        <w:adjustRightInd w:val="0"/>
        <w:jc w:val="both"/>
        <w:rPr>
          <w:rFonts w:ascii="Verdana" w:hAnsi="Verdana" w:cs="Arial"/>
        </w:rPr>
      </w:pPr>
    </w:p>
    <w:p w14:paraId="7739A62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OBJETIVO </w:t>
      </w:r>
    </w:p>
    <w:p w14:paraId="392CCB7B"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Definir los lineamientos que se deben tener en cuenta para el reconocimiento, medición, revelación y presentación de ingresos Fiscales en los Estados Financieros del Sistema General de Regalias.</w:t>
      </w:r>
    </w:p>
    <w:p w14:paraId="0686F671" w14:textId="77777777" w:rsidR="007C7EF4" w:rsidRPr="00CD459A" w:rsidRDefault="007C7EF4" w:rsidP="007C7EF4">
      <w:pPr>
        <w:widowControl w:val="0"/>
        <w:autoSpaceDE w:val="0"/>
        <w:autoSpaceDN w:val="0"/>
        <w:adjustRightInd w:val="0"/>
        <w:jc w:val="both"/>
        <w:rPr>
          <w:rFonts w:ascii="Verdana" w:hAnsi="Verdana" w:cs="Arial"/>
        </w:rPr>
      </w:pPr>
    </w:p>
    <w:p w14:paraId="02A90ED8"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ALCANCE</w:t>
      </w:r>
    </w:p>
    <w:p w14:paraId="002BA2FE"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r w:rsidRPr="00CD459A">
        <w:rPr>
          <w:rFonts w:ascii="Verdana" w:hAnsi="Verdana" w:cs="Arial"/>
          <w:lang w:val="es-ES_tradnl" w:eastAsia="es-CO"/>
        </w:rPr>
        <w:t>Esta política se aplicará en la contabilización de ingresos Fiscales en el SGR.</w:t>
      </w:r>
    </w:p>
    <w:p w14:paraId="2518A3F8"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3D5735B1" w14:textId="77777777" w:rsidR="007C7EF4" w:rsidRPr="00CD459A" w:rsidRDefault="007C7EF4" w:rsidP="007C7EF4">
      <w:pPr>
        <w:widowControl w:val="0"/>
        <w:autoSpaceDE w:val="0"/>
        <w:autoSpaceDN w:val="0"/>
        <w:adjustRightInd w:val="0"/>
        <w:jc w:val="both"/>
        <w:rPr>
          <w:rFonts w:ascii="Verdana" w:hAnsi="Verdana" w:cs="Arial"/>
        </w:rPr>
      </w:pPr>
      <w:bookmarkStart w:id="789" w:name="_Toc515549539"/>
      <w:bookmarkStart w:id="790" w:name="_Toc515549933"/>
      <w:bookmarkStart w:id="791" w:name="_Toc520127442"/>
      <w:bookmarkStart w:id="792" w:name="_Toc529890536"/>
      <w:r w:rsidRPr="00CD459A">
        <w:rPr>
          <w:rFonts w:ascii="Verdana" w:hAnsi="Verdana" w:cs="Arial"/>
        </w:rPr>
        <w:t>REFERENCIA A MARCO NORMATIVO DE ENTIDADES DE GOBIERNO</w:t>
      </w:r>
      <w:bookmarkEnd w:id="789"/>
      <w:bookmarkEnd w:id="790"/>
      <w:bookmarkEnd w:id="791"/>
      <w:bookmarkEnd w:id="792"/>
      <w:r w:rsidRPr="00CD459A">
        <w:rPr>
          <w:rFonts w:ascii="Verdana" w:hAnsi="Verdana" w:cs="Arial"/>
        </w:rPr>
        <w:t xml:space="preserve"> </w:t>
      </w:r>
    </w:p>
    <w:tbl>
      <w:tblPr>
        <w:tblW w:w="0" w:type="auto"/>
        <w:jc w:val="center"/>
        <w:tblBorders>
          <w:bottom w:val="single" w:sz="12" w:space="0" w:color="000000"/>
        </w:tblBorders>
        <w:tblLook w:val="0420" w:firstRow="1" w:lastRow="0" w:firstColumn="0" w:lastColumn="0" w:noHBand="0" w:noVBand="1"/>
      </w:tblPr>
      <w:tblGrid>
        <w:gridCol w:w="4498"/>
        <w:gridCol w:w="174"/>
        <w:gridCol w:w="4166"/>
      </w:tblGrid>
      <w:tr w:rsidR="00CD459A" w:rsidRPr="00CD459A" w14:paraId="33E2D7EC" w14:textId="77777777" w:rsidTr="00355F8E">
        <w:trPr>
          <w:jc w:val="center"/>
        </w:trPr>
        <w:tc>
          <w:tcPr>
            <w:tcW w:w="4672" w:type="dxa"/>
            <w:gridSpan w:val="2"/>
            <w:tcBorders>
              <w:bottom w:val="nil"/>
            </w:tcBorders>
            <w:shd w:val="solid" w:color="2F5395" w:fill="FFFFFF"/>
          </w:tcPr>
          <w:p w14:paraId="640C3859"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166" w:type="dxa"/>
            <w:tcBorders>
              <w:bottom w:val="nil"/>
            </w:tcBorders>
            <w:shd w:val="solid" w:color="2F5395" w:fill="FFFFFF"/>
          </w:tcPr>
          <w:p w14:paraId="43DA9715"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550E990D" w14:textId="77777777" w:rsidTr="00355F8E">
        <w:trPr>
          <w:trHeight w:val="542"/>
          <w:jc w:val="center"/>
        </w:trPr>
        <w:tc>
          <w:tcPr>
            <w:tcW w:w="4498" w:type="dxa"/>
            <w:tcBorders>
              <w:bottom w:val="single" w:sz="12" w:space="0" w:color="000000"/>
            </w:tcBorders>
            <w:shd w:val="pct20" w:color="FFFFFF" w:fill="FFFFFF"/>
            <w:vAlign w:val="center"/>
          </w:tcPr>
          <w:p w14:paraId="208243AA"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340" w:type="dxa"/>
            <w:gridSpan w:val="2"/>
            <w:tcBorders>
              <w:bottom w:val="single" w:sz="12" w:space="0" w:color="000000"/>
            </w:tcBorders>
            <w:shd w:val="pct20" w:color="FFFFFF" w:fill="FFFFFF"/>
            <w:vAlign w:val="center"/>
          </w:tcPr>
          <w:p w14:paraId="406A9CCF"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41 – Ingresos Fiscales</w:t>
            </w:r>
          </w:p>
        </w:tc>
      </w:tr>
      <w:tr w:rsidR="00CD459A" w:rsidRPr="00CD459A" w14:paraId="561258B6" w14:textId="77777777" w:rsidTr="00355F8E">
        <w:trPr>
          <w:jc w:val="center"/>
        </w:trPr>
        <w:tc>
          <w:tcPr>
            <w:tcW w:w="4498" w:type="dxa"/>
            <w:tcBorders>
              <w:top w:val="single" w:sz="12" w:space="0" w:color="000000"/>
              <w:bottom w:val="single" w:sz="12" w:space="0" w:color="000000"/>
            </w:tcBorders>
            <w:shd w:val="pct20" w:color="FFFFFF" w:fill="FFFFFF"/>
            <w:vAlign w:val="center"/>
          </w:tcPr>
          <w:p w14:paraId="2C12581F"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340" w:type="dxa"/>
            <w:gridSpan w:val="2"/>
            <w:tcBorders>
              <w:top w:val="single" w:sz="12" w:space="0" w:color="000000"/>
              <w:bottom w:val="single" w:sz="12" w:space="0" w:color="000000"/>
            </w:tcBorders>
            <w:shd w:val="pct20" w:color="FFFFFF" w:fill="FFFFFF"/>
            <w:vAlign w:val="center"/>
          </w:tcPr>
          <w:p w14:paraId="56CB7347"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Capítulo IV / Numeral 2. Ingresos de transacciones con contraprestación</w:t>
            </w:r>
          </w:p>
        </w:tc>
      </w:tr>
    </w:tbl>
    <w:p w14:paraId="18E229DE"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376CE4C5"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447CFBD9"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tbl>
      <w:tblPr>
        <w:tblW w:w="0" w:type="auto"/>
        <w:jc w:val="center"/>
        <w:tblBorders>
          <w:bottom w:val="single" w:sz="12" w:space="0" w:color="000000"/>
        </w:tblBorders>
        <w:tblLook w:val="0420" w:firstRow="1" w:lastRow="0" w:firstColumn="0" w:lastColumn="0" w:noHBand="0" w:noVBand="1"/>
      </w:tblPr>
      <w:tblGrid>
        <w:gridCol w:w="2726"/>
        <w:gridCol w:w="571"/>
        <w:gridCol w:w="5541"/>
      </w:tblGrid>
      <w:tr w:rsidR="00CD459A" w:rsidRPr="00CD459A" w14:paraId="7503301F" w14:textId="77777777" w:rsidTr="00355F8E">
        <w:trPr>
          <w:jc w:val="center"/>
        </w:trPr>
        <w:tc>
          <w:tcPr>
            <w:tcW w:w="2726" w:type="dxa"/>
            <w:tcBorders>
              <w:bottom w:val="single" w:sz="12" w:space="0" w:color="000000"/>
            </w:tcBorders>
            <w:shd w:val="solid" w:color="2F5395" w:fill="FFFFFF"/>
          </w:tcPr>
          <w:p w14:paraId="05428577"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6112" w:type="dxa"/>
            <w:gridSpan w:val="2"/>
            <w:tcBorders>
              <w:bottom w:val="single" w:sz="12" w:space="0" w:color="000000"/>
            </w:tcBorders>
            <w:shd w:val="solid" w:color="2F5395" w:fill="FFFFFF"/>
          </w:tcPr>
          <w:p w14:paraId="6406D416"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238A8589" w14:textId="77777777" w:rsidTr="00355F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7" w:type="dxa"/>
            <w:gridSpan w:val="2"/>
            <w:shd w:val="pct20" w:color="FFFFFF" w:fill="FFFFFF"/>
            <w:vAlign w:val="center"/>
          </w:tcPr>
          <w:p w14:paraId="165A1731"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Departamento Nacional de Planeación </w:t>
            </w:r>
          </w:p>
        </w:tc>
        <w:tc>
          <w:tcPr>
            <w:tcW w:w="5541" w:type="dxa"/>
            <w:shd w:val="pct20" w:color="FFFFFF" w:fill="FFFFFF"/>
            <w:vAlign w:val="center"/>
          </w:tcPr>
          <w:p w14:paraId="19386515"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Informar acerca de los actos administrativos que imponen multas a favor del SGR.</w:t>
            </w:r>
          </w:p>
        </w:tc>
      </w:tr>
      <w:tr w:rsidR="00CD459A" w:rsidRPr="00CD459A" w14:paraId="12D8E9C3" w14:textId="77777777" w:rsidTr="00355F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7" w:type="dxa"/>
            <w:gridSpan w:val="2"/>
            <w:shd w:val="pct20" w:color="FFFFFF" w:fill="FFFFFF"/>
            <w:vAlign w:val="center"/>
          </w:tcPr>
          <w:p w14:paraId="1431A75F"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Agencia Nacional de Minería </w:t>
            </w:r>
          </w:p>
        </w:tc>
        <w:tc>
          <w:tcPr>
            <w:tcW w:w="5541" w:type="dxa"/>
            <w:shd w:val="pct20" w:color="FFFFFF" w:fill="FFFFFF"/>
            <w:vAlign w:val="center"/>
          </w:tcPr>
          <w:p w14:paraId="4FEEAFBE" w14:textId="77777777" w:rsidR="007C7EF4" w:rsidRPr="00CD459A" w:rsidRDefault="007C7EF4" w:rsidP="00AB3D96">
            <w:pPr>
              <w:numPr>
                <w:ilvl w:val="0"/>
                <w:numId w:val="91"/>
              </w:numPr>
              <w:spacing w:after="0" w:line="240" w:lineRule="auto"/>
              <w:ind w:left="317" w:hanging="279"/>
              <w:jc w:val="both"/>
              <w:rPr>
                <w:rFonts w:ascii="Verdana" w:hAnsi="Verdana" w:cs="Arial"/>
                <w:lang w:val="es-ES_tradnl"/>
              </w:rPr>
            </w:pPr>
            <w:r w:rsidRPr="00CD459A">
              <w:rPr>
                <w:rFonts w:ascii="Verdana" w:hAnsi="Verdana" w:cs="Arial"/>
                <w:bCs/>
                <w:lang w:val="es-ES_tradnl"/>
              </w:rPr>
              <w:t>Suministrar mensualmente certificación expedida por el contador de la Entidad, referente a la liquidación de Regalias.</w:t>
            </w:r>
          </w:p>
        </w:tc>
      </w:tr>
      <w:tr w:rsidR="00CD459A" w:rsidRPr="00CD459A" w14:paraId="24A5AB76" w14:textId="77777777" w:rsidTr="00355F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7" w:type="dxa"/>
            <w:gridSpan w:val="2"/>
            <w:shd w:val="pct20" w:color="FFFFFF" w:fill="FFFFFF"/>
            <w:vAlign w:val="center"/>
          </w:tcPr>
          <w:p w14:paraId="268C9A3C"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 Agencia Nacional de Hidrocarburos </w:t>
            </w:r>
          </w:p>
        </w:tc>
        <w:tc>
          <w:tcPr>
            <w:tcW w:w="5541" w:type="dxa"/>
            <w:shd w:val="pct20" w:color="FFFFFF" w:fill="FFFFFF"/>
            <w:vAlign w:val="center"/>
          </w:tcPr>
          <w:p w14:paraId="7B05B2B4"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Suministrar mensualmente certificación expedida por el contador de la Entidad, referente a la liquidación de Regalias.</w:t>
            </w:r>
          </w:p>
        </w:tc>
      </w:tr>
      <w:tr w:rsidR="00CD459A" w:rsidRPr="00CD459A" w14:paraId="67597289" w14:textId="77777777" w:rsidTr="00355F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7" w:type="dxa"/>
            <w:gridSpan w:val="2"/>
            <w:tcBorders>
              <w:top w:val="single" w:sz="4" w:space="0" w:color="auto"/>
              <w:left w:val="single" w:sz="4" w:space="0" w:color="auto"/>
              <w:bottom w:val="single" w:sz="4" w:space="0" w:color="auto"/>
              <w:right w:val="single" w:sz="4" w:space="0" w:color="auto"/>
            </w:tcBorders>
            <w:shd w:val="pct20" w:color="FFFFFF" w:fill="FFFFFF"/>
            <w:vAlign w:val="center"/>
          </w:tcPr>
          <w:p w14:paraId="02AFA251"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Grupo de Contabilidad SGR</w:t>
            </w:r>
          </w:p>
        </w:tc>
        <w:tc>
          <w:tcPr>
            <w:tcW w:w="5541" w:type="dxa"/>
            <w:tcBorders>
              <w:top w:val="single" w:sz="4" w:space="0" w:color="auto"/>
              <w:left w:val="single" w:sz="4" w:space="0" w:color="auto"/>
              <w:bottom w:val="single" w:sz="4" w:space="0" w:color="auto"/>
              <w:right w:val="single" w:sz="4" w:space="0" w:color="auto"/>
            </w:tcBorders>
            <w:shd w:val="pct20" w:color="FFFFFF" w:fill="FFFFFF"/>
            <w:vAlign w:val="center"/>
          </w:tcPr>
          <w:p w14:paraId="26F2A5BD"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 las entidades antes mencionadas para realizar el registro, medición y revelación contable correspondiente.</w:t>
            </w:r>
          </w:p>
          <w:p w14:paraId="45CD12DD"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Conciliar y depurar las partidas de Ingresos Fiscales.</w:t>
            </w:r>
          </w:p>
        </w:tc>
      </w:tr>
    </w:tbl>
    <w:p w14:paraId="6D8BF232"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63"/>
        <w:gridCol w:w="2694"/>
        <w:gridCol w:w="3827"/>
      </w:tblGrid>
      <w:tr w:rsidR="00CD459A" w:rsidRPr="00CD459A" w14:paraId="73B8F9FA" w14:textId="77777777" w:rsidTr="003B74CE">
        <w:tc>
          <w:tcPr>
            <w:tcW w:w="2263" w:type="dxa"/>
            <w:tcBorders>
              <w:top w:val="single" w:sz="4" w:space="0" w:color="auto"/>
              <w:left w:val="single" w:sz="4" w:space="0" w:color="auto"/>
              <w:bottom w:val="single" w:sz="4" w:space="0" w:color="auto"/>
              <w:right w:val="single" w:sz="4" w:space="0" w:color="auto"/>
            </w:tcBorders>
          </w:tcPr>
          <w:p w14:paraId="2CD74EB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694" w:type="dxa"/>
            <w:tcBorders>
              <w:top w:val="single" w:sz="4" w:space="0" w:color="auto"/>
              <w:left w:val="single" w:sz="4" w:space="0" w:color="auto"/>
              <w:bottom w:val="single" w:sz="4" w:space="0" w:color="auto"/>
              <w:right w:val="single" w:sz="4" w:space="0" w:color="auto"/>
            </w:tcBorders>
          </w:tcPr>
          <w:p w14:paraId="5AF49C2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827" w:type="dxa"/>
            <w:tcBorders>
              <w:top w:val="single" w:sz="4" w:space="0" w:color="auto"/>
              <w:left w:val="single" w:sz="4" w:space="0" w:color="auto"/>
              <w:bottom w:val="single" w:sz="4" w:space="0" w:color="auto"/>
              <w:right w:val="single" w:sz="4" w:space="0" w:color="auto"/>
            </w:tcBorders>
          </w:tcPr>
          <w:p w14:paraId="75164DF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638735A9" w14:textId="77777777" w:rsidTr="003B74CE">
        <w:tc>
          <w:tcPr>
            <w:tcW w:w="2263" w:type="dxa"/>
          </w:tcPr>
          <w:p w14:paraId="1A5AED8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w:t>
            </w:r>
          </w:p>
        </w:tc>
        <w:tc>
          <w:tcPr>
            <w:tcW w:w="2694" w:type="dxa"/>
          </w:tcPr>
          <w:p w14:paraId="2D56F15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41</w:t>
            </w:r>
          </w:p>
        </w:tc>
        <w:tc>
          <w:tcPr>
            <w:tcW w:w="3827" w:type="dxa"/>
          </w:tcPr>
          <w:p w14:paraId="7B757144"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411002</w:t>
            </w:r>
          </w:p>
        </w:tc>
      </w:tr>
      <w:tr w:rsidR="00CD459A" w:rsidRPr="00CD459A" w14:paraId="66D5F6B7" w14:textId="77777777" w:rsidTr="003B74CE">
        <w:tc>
          <w:tcPr>
            <w:tcW w:w="2263" w:type="dxa"/>
          </w:tcPr>
          <w:p w14:paraId="55228D4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w:t>
            </w:r>
          </w:p>
        </w:tc>
        <w:tc>
          <w:tcPr>
            <w:tcW w:w="2694" w:type="dxa"/>
          </w:tcPr>
          <w:p w14:paraId="2991CFE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 FISCALES</w:t>
            </w:r>
          </w:p>
        </w:tc>
        <w:tc>
          <w:tcPr>
            <w:tcW w:w="3827" w:type="dxa"/>
          </w:tcPr>
          <w:p w14:paraId="59E2A4B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MULTAS</w:t>
            </w:r>
          </w:p>
        </w:tc>
      </w:tr>
    </w:tbl>
    <w:p w14:paraId="3966BC72" w14:textId="77777777" w:rsidR="007C7EF4" w:rsidRPr="00CD459A" w:rsidRDefault="007C7EF4" w:rsidP="007C7EF4">
      <w:pPr>
        <w:suppressLineNumbers/>
        <w:tabs>
          <w:tab w:val="left" w:pos="-720"/>
        </w:tabs>
        <w:ind w:left="284" w:hanging="284"/>
        <w:jc w:val="both"/>
        <w:rPr>
          <w:rFonts w:ascii="Verdana" w:hAnsi="Verdana" w:cs="Arial"/>
        </w:rPr>
      </w:pPr>
    </w:p>
    <w:p w14:paraId="355845D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1321627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corresponde a las multas impuestas mediante resoluciones en firme emitidas por el DNP contempladas en el artículo 117 de la ley 1530 de 2012 a los representantes legales de entidades territoriales como resultado del SMSCyE del SGR.  </w:t>
      </w:r>
    </w:p>
    <w:p w14:paraId="02CC5877" w14:textId="77777777" w:rsidR="007C7EF4" w:rsidRPr="00CD459A" w:rsidRDefault="007C7EF4" w:rsidP="007C7EF4">
      <w:pPr>
        <w:suppressLineNumbers/>
        <w:tabs>
          <w:tab w:val="left" w:pos="-720"/>
        </w:tabs>
        <w:ind w:left="284" w:hanging="284"/>
        <w:jc w:val="both"/>
        <w:rPr>
          <w:rFonts w:ascii="Verdana" w:hAnsi="Verdana" w:cs="Arial"/>
        </w:rPr>
      </w:pPr>
    </w:p>
    <w:p w14:paraId="746A74C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0C88E5F"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Los ingresos de esta subcuenta se registran por el valor que representa el derecho. Para el caso de las multas impuestas por el Departamento Nacional de Planeación, </w:t>
      </w:r>
      <w:r w:rsidRPr="00CD459A">
        <w:rPr>
          <w:rFonts w:ascii="Verdana" w:hAnsi="Verdana" w:cs="Arial"/>
        </w:rPr>
        <w:t>se registra por el valor establecido en la resolución que se encuentre en estado en firme.</w:t>
      </w:r>
    </w:p>
    <w:p w14:paraId="590ACF31" w14:textId="77777777" w:rsidR="007C7EF4" w:rsidRPr="00CD459A" w:rsidRDefault="007C7EF4" w:rsidP="007C7EF4">
      <w:pPr>
        <w:suppressLineNumbers/>
        <w:tabs>
          <w:tab w:val="left" w:pos="-720"/>
        </w:tabs>
        <w:ind w:left="284" w:hanging="284"/>
        <w:jc w:val="both"/>
        <w:rPr>
          <w:rFonts w:ascii="Verdana" w:hAnsi="Verdana" w:cs="Arial"/>
        </w:rPr>
      </w:pPr>
    </w:p>
    <w:p w14:paraId="0EBB6E3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2DD497A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Informe emitido por el Departamento Nacional de Planeación, en el cual se refleja el estado de las multas impuestas.</w:t>
      </w:r>
    </w:p>
    <w:p w14:paraId="4FCA6CC2" w14:textId="77777777" w:rsidR="007C7EF4" w:rsidRPr="00CD459A" w:rsidRDefault="007C7EF4" w:rsidP="007C7EF4">
      <w:pPr>
        <w:suppressLineNumbers/>
        <w:tabs>
          <w:tab w:val="left" w:pos="-720"/>
        </w:tabs>
        <w:ind w:left="284" w:hanging="284"/>
        <w:jc w:val="both"/>
        <w:rPr>
          <w:rFonts w:ascii="Verdana" w:hAnsi="Verdana" w:cs="Arial"/>
        </w:rPr>
      </w:pPr>
    </w:p>
    <w:p w14:paraId="23BB23D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01348105" w14:textId="09E7CA3B" w:rsidR="007C7EF4" w:rsidRDefault="007C7EF4" w:rsidP="007C7EF4">
      <w:pPr>
        <w:suppressLineNumbers/>
        <w:tabs>
          <w:tab w:val="left" w:pos="-720"/>
        </w:tabs>
        <w:ind w:left="284" w:hanging="284"/>
        <w:jc w:val="both"/>
        <w:rPr>
          <w:rFonts w:ascii="Verdana" w:hAnsi="Verdana" w:cs="Arial"/>
        </w:rPr>
      </w:pPr>
      <w:r w:rsidRPr="00CD459A">
        <w:rPr>
          <w:rFonts w:ascii="Verdana" w:hAnsi="Verdana" w:cs="Arial"/>
        </w:rPr>
        <w:t>El saldo contable por tercero se compara con el informe remitido por el DNP.</w:t>
      </w:r>
    </w:p>
    <w:p w14:paraId="41B29769" w14:textId="77777777" w:rsidR="00355F8E" w:rsidRPr="00CD459A" w:rsidRDefault="00355F8E" w:rsidP="007C7EF4">
      <w:pPr>
        <w:suppressLineNumbers/>
        <w:tabs>
          <w:tab w:val="left" w:pos="-720"/>
        </w:tabs>
        <w:ind w:left="284" w:hanging="284"/>
        <w:jc w:val="both"/>
        <w:rPr>
          <w:rFonts w:ascii="Verdana" w:hAnsi="Verdana" w:cs="Arial"/>
        </w:rPr>
      </w:pPr>
    </w:p>
    <w:p w14:paraId="564655B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5F13CA5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lang w:val="es-ES_tradnl"/>
        </w:rPr>
        <w:t>El saldo de la subcuenta será revelado discriminando el derecho que tiene el Sistema General de Regalías por cada tercero.</w:t>
      </w:r>
    </w:p>
    <w:p w14:paraId="1546BFE1" w14:textId="77777777" w:rsidR="007C7EF4" w:rsidRPr="00CD459A" w:rsidRDefault="007C7EF4" w:rsidP="007C7EF4">
      <w:pPr>
        <w:suppressLineNumbers/>
        <w:tabs>
          <w:tab w:val="left" w:pos="-720"/>
        </w:tabs>
        <w:jc w:val="both"/>
        <w:rPr>
          <w:rFonts w:ascii="Verdana" w:hAnsi="Verdana" w:cs="Arial"/>
        </w:rPr>
      </w:pPr>
    </w:p>
    <w:p w14:paraId="563BE4C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52C41EB9" w14:textId="77777777" w:rsidR="007C7EF4" w:rsidRPr="00CD459A" w:rsidRDefault="007C7EF4" w:rsidP="007C7EF4">
      <w:pPr>
        <w:suppressLineNumbers/>
        <w:tabs>
          <w:tab w:val="left" w:pos="-720"/>
        </w:tabs>
        <w:ind w:left="284" w:hanging="284"/>
        <w:jc w:val="both"/>
        <w:rPr>
          <w:rFonts w:ascii="Verdana" w:hAnsi="Verdana" w:cs="Arial"/>
        </w:rPr>
      </w:pPr>
    </w:p>
    <w:p w14:paraId="48DB922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2A8287B5" w14:textId="77777777" w:rsidR="007C7EF4" w:rsidRPr="00CD459A" w:rsidRDefault="007C7EF4" w:rsidP="007C7EF4">
      <w:pPr>
        <w:pStyle w:val="Prrafodelista"/>
        <w:widowControl w:val="0"/>
        <w:autoSpaceDE w:val="0"/>
        <w:autoSpaceDN w:val="0"/>
        <w:adjustRightInd w:val="0"/>
        <w:ind w:left="426"/>
        <w:jc w:val="both"/>
        <w:rPr>
          <w:rFonts w:ascii="Verdana" w:hAnsi="Verdana" w:cs="Arial"/>
        </w:rPr>
      </w:pPr>
    </w:p>
    <w:p w14:paraId="6C9D04AA" w14:textId="77777777" w:rsidR="007C7EF4" w:rsidRPr="00CD459A" w:rsidRDefault="007C7EF4" w:rsidP="00AB3D96">
      <w:pPr>
        <w:pStyle w:val="Prrafodelista"/>
        <w:widowControl w:val="0"/>
        <w:numPr>
          <w:ilvl w:val="0"/>
          <w:numId w:val="61"/>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311001 - Utilidad o excedente del ejercicio cuando los ingresos son superiores a los gastos del periodo, o a la subcuenta 311002 – Déficit del Ejercicio cuando los ingresos son inferiores a los gastos del periodo.</w:t>
      </w:r>
    </w:p>
    <w:p w14:paraId="5EC8ECC2" w14:textId="77777777" w:rsidR="007C7EF4" w:rsidRDefault="007C7EF4" w:rsidP="00AB3D96">
      <w:pPr>
        <w:pStyle w:val="Prrafodelista"/>
        <w:widowControl w:val="0"/>
        <w:numPr>
          <w:ilvl w:val="0"/>
          <w:numId w:val="61"/>
        </w:numPr>
        <w:autoSpaceDE w:val="0"/>
        <w:autoSpaceDN w:val="0"/>
        <w:adjustRightInd w:val="0"/>
        <w:spacing w:line="240" w:lineRule="auto"/>
        <w:jc w:val="both"/>
        <w:rPr>
          <w:rFonts w:ascii="Verdana" w:hAnsi="Verdana" w:cs="Arial"/>
        </w:rPr>
      </w:pPr>
      <w:r w:rsidRPr="00CD459A">
        <w:rPr>
          <w:rFonts w:ascii="Verdana" w:hAnsi="Verdana" w:cs="Arial"/>
        </w:rPr>
        <w:t>Por la disminución de la Multa impuesta por el DNP.</w:t>
      </w:r>
    </w:p>
    <w:p w14:paraId="6811B208" w14:textId="77777777" w:rsidR="00355F8E" w:rsidRPr="00CD459A" w:rsidRDefault="00355F8E" w:rsidP="00355F8E">
      <w:pPr>
        <w:pStyle w:val="Prrafodelista"/>
        <w:widowControl w:val="0"/>
        <w:autoSpaceDE w:val="0"/>
        <w:autoSpaceDN w:val="0"/>
        <w:adjustRightInd w:val="0"/>
        <w:spacing w:line="240" w:lineRule="auto"/>
        <w:jc w:val="both"/>
        <w:rPr>
          <w:rFonts w:ascii="Verdana" w:hAnsi="Verdana" w:cs="Arial"/>
        </w:rPr>
      </w:pPr>
    </w:p>
    <w:p w14:paraId="5D2FCA2F"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0D45780E" w14:textId="77777777" w:rsidR="007C7EF4" w:rsidRPr="00CD459A" w:rsidRDefault="007C7EF4" w:rsidP="00AB3D96">
      <w:pPr>
        <w:pStyle w:val="Prrafodelista"/>
        <w:widowControl w:val="0"/>
        <w:numPr>
          <w:ilvl w:val="0"/>
          <w:numId w:val="62"/>
        </w:numPr>
        <w:autoSpaceDE w:val="0"/>
        <w:autoSpaceDN w:val="0"/>
        <w:adjustRightInd w:val="0"/>
        <w:spacing w:line="240" w:lineRule="auto"/>
        <w:jc w:val="both"/>
        <w:rPr>
          <w:rFonts w:ascii="Verdana" w:hAnsi="Verdana" w:cs="Arial"/>
        </w:rPr>
      </w:pPr>
      <w:r w:rsidRPr="00CD459A">
        <w:rPr>
          <w:rFonts w:ascii="Verdana" w:hAnsi="Verdana" w:cs="Arial"/>
        </w:rPr>
        <w:t xml:space="preserve">El valor de los derechos, con crédito a la subcuenta que represente el concepto de la operación. Para el caso </w:t>
      </w:r>
      <w:r w:rsidRPr="00CD459A">
        <w:rPr>
          <w:rFonts w:ascii="Verdana" w:hAnsi="Verdana" w:cs="Arial"/>
          <w:lang w:val="es-ES_tradnl"/>
        </w:rPr>
        <w:t xml:space="preserve">de las multas impuestas por DNP </w:t>
      </w:r>
      <w:r w:rsidRPr="00CD459A">
        <w:rPr>
          <w:rFonts w:ascii="Verdana" w:hAnsi="Verdana" w:cs="Arial"/>
        </w:rPr>
        <w:t>el débito se registra a la subcuenta 131102 – Multas</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4CF48DF8" w14:textId="77777777" w:rsidTr="003B74CE">
        <w:tc>
          <w:tcPr>
            <w:tcW w:w="1984" w:type="dxa"/>
          </w:tcPr>
          <w:p w14:paraId="3D1B68D5"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5F91929C"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6EB265B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6301AE09" w14:textId="77777777" w:rsidTr="003B74CE">
        <w:tc>
          <w:tcPr>
            <w:tcW w:w="1984" w:type="dxa"/>
          </w:tcPr>
          <w:p w14:paraId="5CF74C5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3413" w:type="dxa"/>
          </w:tcPr>
          <w:p w14:paraId="163993D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41</w:t>
            </w:r>
          </w:p>
        </w:tc>
        <w:tc>
          <w:tcPr>
            <w:tcW w:w="3482" w:type="dxa"/>
          </w:tcPr>
          <w:p w14:paraId="39EA0D0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411101</w:t>
            </w:r>
          </w:p>
        </w:tc>
      </w:tr>
      <w:tr w:rsidR="00CD459A" w:rsidRPr="00CD459A" w14:paraId="6B23142B" w14:textId="77777777" w:rsidTr="003B74CE">
        <w:tc>
          <w:tcPr>
            <w:tcW w:w="1984" w:type="dxa"/>
          </w:tcPr>
          <w:p w14:paraId="527E84D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3413" w:type="dxa"/>
          </w:tcPr>
          <w:p w14:paraId="5ABAB8F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 FISCALES</w:t>
            </w:r>
          </w:p>
        </w:tc>
        <w:tc>
          <w:tcPr>
            <w:tcW w:w="3482" w:type="dxa"/>
          </w:tcPr>
          <w:p w14:paraId="4857CB6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HIDROCARBUROS</w:t>
            </w:r>
          </w:p>
        </w:tc>
      </w:tr>
    </w:tbl>
    <w:p w14:paraId="42688762" w14:textId="77777777" w:rsidR="007C7EF4" w:rsidRPr="00CD459A" w:rsidRDefault="007C7EF4" w:rsidP="007C7EF4">
      <w:pPr>
        <w:suppressLineNumbers/>
        <w:tabs>
          <w:tab w:val="left" w:pos="-720"/>
        </w:tabs>
        <w:ind w:left="284" w:hanging="284"/>
        <w:jc w:val="both"/>
        <w:rPr>
          <w:rFonts w:ascii="Verdana" w:hAnsi="Verdana" w:cs="Arial"/>
        </w:rPr>
      </w:pPr>
    </w:p>
    <w:p w14:paraId="15ACC825" w14:textId="6499C293"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2086F06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de esta subcuenta representa el valor de los derechos del Sistema General de Regalías por concepto de liquidación de hidrocarburos que realiza la Agencia Nacional de Hidrocarburos, como el resultado de la aplicación de las variables técnicas asociadas con la producción y comercialización de hidrocarburos en un periodo determinado, tales como volúmenes de producción, precios base de liquidación, tasa representativa del mercado y porcentajes de participación de regalía por recurso natural no renovable, en las condiciones establecidas en la ley y en los contratos. El Ministerio de Minas y Energía y la Agencia Nacional de Hidrocarburos, son las máximas autoridades para determinar y ejecutar los procedimientos y plazos de liquidación de hidrocarburos y sus derivados. </w:t>
      </w:r>
    </w:p>
    <w:p w14:paraId="73C2A69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 </w:t>
      </w:r>
    </w:p>
    <w:p w14:paraId="0D7EE28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1A0A396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Las regalías se causan al momento en que se extrae el recurso natural no renovable, es decir, en boca de pozo, en boca de mina y en borde de mina, con base en la certificación que expide mensualmente la Agencia Nacional de Hidrocarburos.</w:t>
      </w:r>
    </w:p>
    <w:p w14:paraId="154981AF" w14:textId="77777777" w:rsidR="007C7EF4" w:rsidRPr="00CD459A" w:rsidRDefault="007C7EF4" w:rsidP="007C7EF4">
      <w:pPr>
        <w:suppressLineNumbers/>
        <w:tabs>
          <w:tab w:val="left" w:pos="-720"/>
        </w:tabs>
        <w:ind w:left="284" w:hanging="284"/>
        <w:jc w:val="both"/>
        <w:rPr>
          <w:rFonts w:ascii="Verdana" w:hAnsi="Verdana" w:cs="Arial"/>
        </w:rPr>
      </w:pPr>
    </w:p>
    <w:p w14:paraId="4000D8D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0881468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Certificación expedida por el Contador de la Agencia Nacional de Hidrocarburos</w:t>
      </w:r>
    </w:p>
    <w:p w14:paraId="627C0DF2" w14:textId="77777777" w:rsidR="007C7EF4" w:rsidRPr="00CD459A" w:rsidRDefault="007C7EF4" w:rsidP="007C7EF4">
      <w:pPr>
        <w:suppressLineNumbers/>
        <w:tabs>
          <w:tab w:val="left" w:pos="-720"/>
        </w:tabs>
        <w:ind w:left="284" w:hanging="284"/>
        <w:jc w:val="both"/>
        <w:rPr>
          <w:rFonts w:ascii="Verdana" w:hAnsi="Verdana" w:cs="Arial"/>
        </w:rPr>
      </w:pPr>
    </w:p>
    <w:p w14:paraId="4C2FF9B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CONCILIACIÓN </w:t>
      </w:r>
    </w:p>
    <w:p w14:paraId="2262D25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valor del saldo contable con el valor certificado por concepto de liquidaciones. </w:t>
      </w:r>
    </w:p>
    <w:p w14:paraId="442C8410" w14:textId="77777777" w:rsidR="007C7EF4" w:rsidRPr="00CD459A" w:rsidRDefault="007C7EF4" w:rsidP="007C7EF4">
      <w:pPr>
        <w:suppressLineNumbers/>
        <w:tabs>
          <w:tab w:val="left" w:pos="-720"/>
        </w:tabs>
        <w:ind w:left="284" w:hanging="284"/>
        <w:jc w:val="both"/>
        <w:rPr>
          <w:rFonts w:ascii="Verdana" w:hAnsi="Verdana" w:cs="Arial"/>
        </w:rPr>
      </w:pPr>
    </w:p>
    <w:p w14:paraId="12158EFE" w14:textId="11E3B22D"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601B594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valor de las liquidaciones se revela discriminando el valor mensual de liquidaciones en dinero y el valor de liquidaciones en especie, también se revela el valor liquidado pendiente de recaudar y el valor liquidado y recaudado por la Agencia Nacional de Hidrocarburos pendiente de transferir a la cuenta única del Sistema General de Regalías. </w:t>
      </w:r>
    </w:p>
    <w:p w14:paraId="143DAD33" w14:textId="77777777" w:rsidR="007C7EF4" w:rsidRPr="00CD459A" w:rsidRDefault="007C7EF4" w:rsidP="007C7EF4">
      <w:pPr>
        <w:suppressLineNumbers/>
        <w:tabs>
          <w:tab w:val="left" w:pos="-720"/>
        </w:tabs>
        <w:ind w:left="284" w:hanging="284"/>
        <w:jc w:val="both"/>
        <w:rPr>
          <w:rFonts w:ascii="Verdana" w:hAnsi="Verdana" w:cs="Arial"/>
        </w:rPr>
      </w:pPr>
    </w:p>
    <w:p w14:paraId="1D2A494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7A4A1B21" w14:textId="77777777" w:rsidR="007C7EF4" w:rsidRPr="00CD459A" w:rsidRDefault="007C7EF4" w:rsidP="007C7EF4">
      <w:pPr>
        <w:suppressLineNumbers/>
        <w:tabs>
          <w:tab w:val="left" w:pos="-720"/>
        </w:tabs>
        <w:ind w:left="284" w:hanging="284"/>
        <w:jc w:val="both"/>
        <w:rPr>
          <w:rFonts w:ascii="Verdana" w:hAnsi="Verdana" w:cs="Arial"/>
        </w:rPr>
      </w:pPr>
    </w:p>
    <w:p w14:paraId="07FFC83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05B12AF2" w14:textId="77777777" w:rsidR="007C7EF4" w:rsidRDefault="007C7EF4" w:rsidP="00AB3D96">
      <w:pPr>
        <w:pStyle w:val="Prrafodelista"/>
        <w:numPr>
          <w:ilvl w:val="0"/>
          <w:numId w:val="51"/>
        </w:numPr>
        <w:suppressLineNumbers/>
        <w:tabs>
          <w:tab w:val="left" w:pos="-720"/>
        </w:tabs>
        <w:spacing w:line="240" w:lineRule="auto"/>
        <w:jc w:val="both"/>
        <w:rPr>
          <w:rFonts w:ascii="Verdana" w:hAnsi="Verdana" w:cs="Arial"/>
        </w:rPr>
      </w:pPr>
      <w:r w:rsidRPr="00CD459A">
        <w:rPr>
          <w:rFonts w:ascii="Verdana" w:hAnsi="Verdana" w:cs="Arial"/>
        </w:rPr>
        <w:t>El valor de la cancelación del saldo al final de cada periodo contable, con crédito a la subcuenta 590501- Cierre de ingresos gastos y costos.</w:t>
      </w:r>
    </w:p>
    <w:p w14:paraId="296B3BD9"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p w14:paraId="78C9268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737D3417" w14:textId="77777777" w:rsidR="007C7EF4" w:rsidRPr="00CD459A" w:rsidRDefault="007C7EF4" w:rsidP="00AB3D96">
      <w:pPr>
        <w:pStyle w:val="Prrafodelista"/>
        <w:numPr>
          <w:ilvl w:val="0"/>
          <w:numId w:val="52"/>
        </w:numPr>
        <w:suppressLineNumbers/>
        <w:tabs>
          <w:tab w:val="left" w:pos="-720"/>
        </w:tabs>
        <w:spacing w:line="240" w:lineRule="auto"/>
        <w:jc w:val="both"/>
        <w:rPr>
          <w:rFonts w:ascii="Verdana" w:hAnsi="Verdana" w:cs="Arial"/>
        </w:rPr>
      </w:pPr>
      <w:r w:rsidRPr="00CD459A">
        <w:rPr>
          <w:rFonts w:ascii="Verdana" w:hAnsi="Verdana" w:cs="Arial"/>
        </w:rPr>
        <w:t>El valor que certifica mensualmente la Agencia Nacional de Hidrocarburos como liquidación de regalías en dinero y liquidación de regalías en especie, con debito a la subcuenta 131401 – Hidrocarburos por el valor de liquidaciones en dinero y a la subcuenta 153043 – Inventario en poder de terceros por el valor de liquidaciones en especie.</w:t>
      </w:r>
    </w:p>
    <w:p w14:paraId="25444733"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451EAC35" w14:textId="77777777" w:rsidTr="003B74CE">
        <w:trPr>
          <w:trHeight w:val="343"/>
        </w:trPr>
        <w:tc>
          <w:tcPr>
            <w:tcW w:w="1984" w:type="dxa"/>
          </w:tcPr>
          <w:p w14:paraId="476C384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1DB80A4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38703E9C"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038031A7" w14:textId="77777777" w:rsidTr="003B74CE">
        <w:trPr>
          <w:trHeight w:val="322"/>
        </w:trPr>
        <w:tc>
          <w:tcPr>
            <w:tcW w:w="1984" w:type="dxa"/>
          </w:tcPr>
          <w:p w14:paraId="44C1364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3413" w:type="dxa"/>
          </w:tcPr>
          <w:p w14:paraId="434D525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41</w:t>
            </w:r>
          </w:p>
        </w:tc>
        <w:tc>
          <w:tcPr>
            <w:tcW w:w="3482" w:type="dxa"/>
          </w:tcPr>
          <w:p w14:paraId="085D6F3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411102</w:t>
            </w:r>
          </w:p>
        </w:tc>
      </w:tr>
      <w:tr w:rsidR="00CD459A" w:rsidRPr="00CD459A" w14:paraId="59041B99" w14:textId="77777777" w:rsidTr="003B74CE">
        <w:trPr>
          <w:trHeight w:val="322"/>
        </w:trPr>
        <w:tc>
          <w:tcPr>
            <w:tcW w:w="1984" w:type="dxa"/>
          </w:tcPr>
          <w:p w14:paraId="67FD8EA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3413" w:type="dxa"/>
          </w:tcPr>
          <w:p w14:paraId="0555DB2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 FISCALES</w:t>
            </w:r>
          </w:p>
        </w:tc>
        <w:tc>
          <w:tcPr>
            <w:tcW w:w="3482" w:type="dxa"/>
          </w:tcPr>
          <w:p w14:paraId="49C656F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MINERALES</w:t>
            </w:r>
          </w:p>
        </w:tc>
      </w:tr>
    </w:tbl>
    <w:p w14:paraId="0DA3A7CF" w14:textId="77777777" w:rsidR="007C7EF4" w:rsidRPr="00CD459A" w:rsidRDefault="007C7EF4" w:rsidP="007C7EF4">
      <w:pPr>
        <w:suppressLineNumbers/>
        <w:tabs>
          <w:tab w:val="left" w:pos="-720"/>
        </w:tabs>
        <w:ind w:left="284" w:hanging="284"/>
        <w:jc w:val="both"/>
        <w:rPr>
          <w:rFonts w:ascii="Verdana" w:hAnsi="Verdana" w:cs="Arial"/>
        </w:rPr>
      </w:pPr>
    </w:p>
    <w:p w14:paraId="5A6960E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17B75A4F" w14:textId="77777777" w:rsidR="007C7EF4" w:rsidRPr="00CD459A" w:rsidRDefault="007C7EF4" w:rsidP="007C7EF4">
      <w:pPr>
        <w:suppressLineNumbers/>
        <w:tabs>
          <w:tab w:val="left" w:pos="-720"/>
        </w:tabs>
        <w:ind w:left="284" w:hanging="284"/>
        <w:jc w:val="both"/>
        <w:rPr>
          <w:rFonts w:ascii="Verdana" w:hAnsi="Verdana" w:cs="Arial"/>
        </w:rPr>
      </w:pPr>
    </w:p>
    <w:p w14:paraId="70103AC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de esta subcuenta representa el valor de los derechos del Sistema General de Regalías por concepto de liquidación de minerales que realiza la Agencia Nacional de Minería, como el resultado de la aplicación de las variables técnicas asociadas con la producción y comercialización de minerales en un periodo determinado, tales como volúmenes de producción, precios base de liquidación, tasa representativa del mercado y porcentajes de participación de regalía por recurso natural no renovable, en las condiciones establecidas en la ley y en los contratos. El Ministerio de Minas y Energía y la Agencia Nacional de Minería, serán las máximas autoridades para determinar y ejecutar los procedimientos y plazos de liquidación de minerales. </w:t>
      </w:r>
    </w:p>
    <w:p w14:paraId="39AABE7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 </w:t>
      </w:r>
    </w:p>
    <w:p w14:paraId="665A295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6A41F85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Las regalías se causan al momento en que se extrae el recurso natural no renovable, es decir, en boca de pozo, en boca de mina y en borde de mina, con base en la certificación que expide mensualmente la Agencia Nacional de Hidrocarburos.</w:t>
      </w:r>
    </w:p>
    <w:p w14:paraId="7FE00FA4" w14:textId="77777777" w:rsidR="007C7EF4" w:rsidRPr="00CD459A" w:rsidRDefault="007C7EF4" w:rsidP="007C7EF4">
      <w:pPr>
        <w:suppressLineNumbers/>
        <w:tabs>
          <w:tab w:val="left" w:pos="-720"/>
        </w:tabs>
        <w:ind w:left="284" w:hanging="284"/>
        <w:jc w:val="both"/>
        <w:rPr>
          <w:rFonts w:ascii="Verdana" w:hAnsi="Verdana" w:cs="Arial"/>
        </w:rPr>
      </w:pPr>
    </w:p>
    <w:p w14:paraId="51C50D1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25DE269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Certificación expedida por el Contador de la Agencia Nacional de Minería.</w:t>
      </w:r>
    </w:p>
    <w:p w14:paraId="6DDCE7AB" w14:textId="77777777" w:rsidR="007C7EF4" w:rsidRPr="00CD459A" w:rsidRDefault="007C7EF4" w:rsidP="007C7EF4">
      <w:pPr>
        <w:suppressLineNumbers/>
        <w:tabs>
          <w:tab w:val="left" w:pos="-720"/>
        </w:tabs>
        <w:ind w:left="284" w:hanging="284"/>
        <w:jc w:val="both"/>
        <w:rPr>
          <w:rFonts w:ascii="Verdana" w:hAnsi="Verdana" w:cs="Arial"/>
        </w:rPr>
      </w:pPr>
    </w:p>
    <w:p w14:paraId="4EB081A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CONCILIACIÓN </w:t>
      </w:r>
    </w:p>
    <w:p w14:paraId="75C59BE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valor del saldo contable con el valor certificado por concepto de liquidaciones. </w:t>
      </w:r>
    </w:p>
    <w:p w14:paraId="38FA35D9" w14:textId="77777777" w:rsidR="007C7EF4" w:rsidRPr="00CD459A" w:rsidRDefault="007C7EF4" w:rsidP="007C7EF4">
      <w:pPr>
        <w:suppressLineNumbers/>
        <w:tabs>
          <w:tab w:val="left" w:pos="-720"/>
        </w:tabs>
        <w:ind w:left="284" w:hanging="284"/>
        <w:jc w:val="both"/>
        <w:rPr>
          <w:rFonts w:ascii="Verdana" w:hAnsi="Verdana" w:cs="Arial"/>
        </w:rPr>
      </w:pPr>
    </w:p>
    <w:p w14:paraId="71F08C5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C012F2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las liquidaciones se revela discriminando el valor mensual de liquidaciones, indicando el valor de liquidaciones de la vigencia actual y el valor de liquidaciones de vigencias anteriores, también se revela el valor liquidado pendiente de recaudar y el valor liquidado y recaudado por la Agencia Nacional de Minería pendiente de transferir a la cuenta única del Sistema General de Regalías.</w:t>
      </w:r>
    </w:p>
    <w:p w14:paraId="6479E5A5" w14:textId="77777777" w:rsidR="007C7EF4" w:rsidRPr="00CD459A" w:rsidRDefault="007C7EF4" w:rsidP="007C7EF4">
      <w:pPr>
        <w:suppressLineNumbers/>
        <w:tabs>
          <w:tab w:val="left" w:pos="-720"/>
        </w:tabs>
        <w:jc w:val="both"/>
        <w:rPr>
          <w:rFonts w:ascii="Verdana" w:hAnsi="Verdana" w:cs="Arial"/>
        </w:rPr>
      </w:pPr>
    </w:p>
    <w:p w14:paraId="336BD0E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A3AA961" w14:textId="77777777" w:rsidR="007C7EF4" w:rsidRPr="00CD459A" w:rsidRDefault="007C7EF4" w:rsidP="007C7EF4">
      <w:pPr>
        <w:suppressLineNumbers/>
        <w:tabs>
          <w:tab w:val="left" w:pos="-720"/>
        </w:tabs>
        <w:ind w:left="284" w:hanging="284"/>
        <w:jc w:val="both"/>
        <w:rPr>
          <w:rFonts w:ascii="Verdana" w:hAnsi="Verdana" w:cs="Arial"/>
        </w:rPr>
      </w:pPr>
    </w:p>
    <w:p w14:paraId="4780B83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6644B7C1" w14:textId="77777777" w:rsidR="007C7EF4" w:rsidRDefault="007C7EF4" w:rsidP="00AB3D96">
      <w:pPr>
        <w:pStyle w:val="Prrafodelista"/>
        <w:numPr>
          <w:ilvl w:val="0"/>
          <w:numId w:val="54"/>
        </w:numPr>
        <w:suppressLineNumbers/>
        <w:tabs>
          <w:tab w:val="left" w:pos="-720"/>
        </w:tabs>
        <w:spacing w:line="240" w:lineRule="auto"/>
        <w:jc w:val="both"/>
        <w:rPr>
          <w:rFonts w:ascii="Verdana" w:hAnsi="Verdana" w:cs="Arial"/>
        </w:rPr>
      </w:pPr>
      <w:r w:rsidRPr="00CD459A">
        <w:rPr>
          <w:rFonts w:ascii="Verdana" w:hAnsi="Verdana" w:cs="Arial"/>
        </w:rPr>
        <w:t>El valor de la cancelación del saldo al final de cada periodo contable, con crédito a la subcuenta 590501- Cierre de ingresos gastos y costos.</w:t>
      </w:r>
    </w:p>
    <w:p w14:paraId="0D5F19C8"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p w14:paraId="404558CD" w14:textId="01294912" w:rsidR="007C7EF4" w:rsidRPr="00CD459A" w:rsidRDefault="007C7EF4" w:rsidP="00355F8E">
      <w:pPr>
        <w:suppressLineNumbers/>
        <w:tabs>
          <w:tab w:val="left" w:pos="-720"/>
        </w:tabs>
        <w:ind w:left="284" w:hanging="284"/>
        <w:jc w:val="both"/>
        <w:rPr>
          <w:rFonts w:ascii="Verdana" w:hAnsi="Verdana" w:cs="Arial"/>
        </w:rPr>
      </w:pPr>
      <w:r w:rsidRPr="00CD459A">
        <w:rPr>
          <w:rFonts w:ascii="Verdana" w:hAnsi="Verdana" w:cs="Arial"/>
        </w:rPr>
        <w:t>SE ACREDITA CON:</w:t>
      </w:r>
    </w:p>
    <w:p w14:paraId="3F6C776E" w14:textId="77777777" w:rsidR="007C7EF4" w:rsidRDefault="007C7EF4" w:rsidP="00AB3D96">
      <w:pPr>
        <w:pStyle w:val="Prrafodelista"/>
        <w:numPr>
          <w:ilvl w:val="0"/>
          <w:numId w:val="53"/>
        </w:numPr>
        <w:suppressLineNumbers/>
        <w:tabs>
          <w:tab w:val="left" w:pos="-720"/>
        </w:tabs>
        <w:spacing w:line="240" w:lineRule="auto"/>
        <w:jc w:val="both"/>
        <w:rPr>
          <w:rFonts w:ascii="Verdana" w:hAnsi="Verdana" w:cs="Arial"/>
        </w:rPr>
      </w:pPr>
      <w:r w:rsidRPr="00CD459A">
        <w:rPr>
          <w:rFonts w:ascii="Verdana" w:hAnsi="Verdana" w:cs="Arial"/>
        </w:rPr>
        <w:t xml:space="preserve">El valor que certifica mensualmente la Agencia Nacional de Minería como liquidación de regalías, con debito a la subcuenta 131402 – Minerales. </w:t>
      </w:r>
    </w:p>
    <w:p w14:paraId="14B40325" w14:textId="77777777" w:rsidR="00355F8E" w:rsidRPr="00CD459A" w:rsidRDefault="00355F8E" w:rsidP="00355F8E">
      <w:pPr>
        <w:pStyle w:val="Prrafodelista"/>
        <w:suppressLineNumbers/>
        <w:tabs>
          <w:tab w:val="left" w:pos="-720"/>
        </w:tabs>
        <w:spacing w:line="240" w:lineRule="auto"/>
        <w:jc w:val="both"/>
        <w:rPr>
          <w:rFonts w:ascii="Verdana" w:hAnsi="Verdana" w:cs="Arial"/>
        </w:rPr>
      </w:pPr>
    </w:p>
    <w:tbl>
      <w:tblPr>
        <w:tblW w:w="8875" w:type="dxa"/>
        <w:tblInd w:w="177" w:type="dxa"/>
        <w:tblLayout w:type="fixed"/>
        <w:tblCellMar>
          <w:left w:w="0" w:type="dxa"/>
          <w:right w:w="0" w:type="dxa"/>
        </w:tblCellMar>
        <w:tblLook w:val="01E0" w:firstRow="1" w:lastRow="1" w:firstColumn="1" w:lastColumn="1" w:noHBand="0" w:noVBand="0"/>
      </w:tblPr>
      <w:tblGrid>
        <w:gridCol w:w="1985"/>
        <w:gridCol w:w="3403"/>
        <w:gridCol w:w="3487"/>
      </w:tblGrid>
      <w:tr w:rsidR="00CD459A" w:rsidRPr="00CD459A" w14:paraId="7F436905" w14:textId="77777777" w:rsidTr="003B74CE">
        <w:trPr>
          <w:trHeight w:hRule="exact" w:val="494"/>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F2E9153" w14:textId="77777777" w:rsidR="007C7EF4" w:rsidRPr="00CD459A" w:rsidRDefault="007C7EF4" w:rsidP="003B74CE">
            <w:pPr>
              <w:pStyle w:val="TableParagraph"/>
              <w:spacing w:before="83"/>
              <w:ind w:right="719"/>
              <w:jc w:val="center"/>
              <w:rPr>
                <w:rFonts w:ascii="Verdana" w:hAnsi="Verdana" w:cs="Arial"/>
                <w:b/>
                <w:bCs/>
              </w:rPr>
            </w:pPr>
            <w:r w:rsidRPr="00CD459A">
              <w:rPr>
                <w:rFonts w:ascii="Verdana" w:hAnsi="Verdana" w:cs="Arial"/>
                <w:b/>
                <w:bCs/>
              </w:rPr>
              <w:t>CLASE</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7889F93C" w14:textId="77777777" w:rsidR="007C7EF4" w:rsidRPr="00CD459A" w:rsidRDefault="007C7EF4" w:rsidP="003B74CE">
            <w:pPr>
              <w:pStyle w:val="TableParagraph"/>
              <w:spacing w:before="83"/>
              <w:ind w:right="1368"/>
              <w:jc w:val="center"/>
              <w:rPr>
                <w:rFonts w:ascii="Verdana" w:hAnsi="Verdana" w:cs="Arial"/>
                <w:b/>
                <w:bCs/>
              </w:rPr>
            </w:pPr>
            <w:r w:rsidRPr="00CD459A">
              <w:rPr>
                <w:rFonts w:ascii="Verdana" w:hAnsi="Verdana" w:cs="Arial"/>
                <w:b/>
                <w:bCs/>
              </w:rPr>
              <w:t>GRUPO</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602B7C10" w14:textId="77777777" w:rsidR="007C7EF4" w:rsidRPr="00CD459A" w:rsidRDefault="007C7EF4" w:rsidP="003B74CE">
            <w:pPr>
              <w:pStyle w:val="TableParagraph"/>
              <w:spacing w:before="83"/>
              <w:ind w:right="1372"/>
              <w:jc w:val="center"/>
              <w:rPr>
                <w:rFonts w:ascii="Verdana" w:hAnsi="Verdana" w:cs="Arial"/>
                <w:b/>
                <w:bCs/>
              </w:rPr>
            </w:pPr>
            <w:r w:rsidRPr="00CD459A">
              <w:rPr>
                <w:rFonts w:ascii="Verdana" w:hAnsi="Verdana" w:cs="Arial"/>
                <w:b/>
                <w:bCs/>
              </w:rPr>
              <w:t>CUENTA</w:t>
            </w:r>
          </w:p>
        </w:tc>
      </w:tr>
      <w:tr w:rsidR="00CD459A" w:rsidRPr="00CD459A" w14:paraId="0CEBDF78" w14:textId="77777777" w:rsidTr="003B74CE">
        <w:trPr>
          <w:trHeight w:hRule="exact" w:val="496"/>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5820E4A5" w14:textId="77777777" w:rsidR="007C7EF4" w:rsidRPr="00CD459A" w:rsidRDefault="007C7EF4" w:rsidP="003B74CE">
            <w:pPr>
              <w:pStyle w:val="TableParagraph"/>
              <w:spacing w:before="83"/>
              <w:ind w:left="103"/>
              <w:jc w:val="both"/>
              <w:rPr>
                <w:rFonts w:ascii="Verdana" w:hAnsi="Verdana" w:cs="Arial"/>
              </w:rPr>
            </w:pPr>
            <w:r w:rsidRPr="00CD459A">
              <w:rPr>
                <w:rFonts w:ascii="Verdana" w:hAnsi="Verdana" w:cs="Arial"/>
              </w:rPr>
              <w:t>4</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00F0634A" w14:textId="77777777" w:rsidR="007C7EF4" w:rsidRPr="00CD459A" w:rsidRDefault="007C7EF4" w:rsidP="003B74CE">
            <w:pPr>
              <w:pStyle w:val="TableParagraph"/>
              <w:spacing w:before="83"/>
              <w:ind w:left="103" w:right="522"/>
              <w:jc w:val="both"/>
              <w:rPr>
                <w:rFonts w:ascii="Verdana" w:hAnsi="Verdana" w:cs="Arial"/>
              </w:rPr>
            </w:pPr>
            <w:r w:rsidRPr="00CD459A">
              <w:rPr>
                <w:rFonts w:ascii="Verdana" w:hAnsi="Verdana" w:cs="Arial"/>
              </w:rPr>
              <w:t>48</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211DBD17" w14:textId="77777777" w:rsidR="007C7EF4" w:rsidRPr="00CD459A" w:rsidRDefault="007C7EF4" w:rsidP="003B74CE">
            <w:pPr>
              <w:jc w:val="both"/>
              <w:rPr>
                <w:rFonts w:ascii="Verdana" w:hAnsi="Verdana" w:cs="Arial"/>
              </w:rPr>
            </w:pPr>
          </w:p>
        </w:tc>
      </w:tr>
      <w:tr w:rsidR="00CD459A" w:rsidRPr="00CD459A" w14:paraId="43EE2892" w14:textId="77777777" w:rsidTr="003B74CE">
        <w:trPr>
          <w:trHeight w:hRule="exact" w:val="496"/>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FE8C1D7" w14:textId="77777777" w:rsidR="007C7EF4" w:rsidRPr="00CD459A" w:rsidRDefault="007C7EF4" w:rsidP="003B74CE">
            <w:pPr>
              <w:pStyle w:val="TableParagraph"/>
              <w:spacing w:before="82"/>
              <w:ind w:left="103" w:right="83"/>
              <w:jc w:val="both"/>
              <w:rPr>
                <w:rFonts w:ascii="Verdana" w:hAnsi="Verdana" w:cs="Arial"/>
              </w:rPr>
            </w:pPr>
            <w:r w:rsidRPr="00CD459A">
              <w:rPr>
                <w:rFonts w:ascii="Verdana" w:hAnsi="Verdana" w:cs="Arial"/>
              </w:rPr>
              <w:t>INGRESOS</w:t>
            </w:r>
          </w:p>
        </w:tc>
        <w:tc>
          <w:tcPr>
            <w:tcW w:w="3403" w:type="dxa"/>
            <w:tcBorders>
              <w:top w:val="single" w:sz="4" w:space="0" w:color="000000"/>
              <w:left w:val="single" w:sz="4" w:space="0" w:color="000000"/>
              <w:bottom w:val="single" w:sz="4" w:space="0" w:color="000000"/>
              <w:right w:val="single" w:sz="4" w:space="0" w:color="000000"/>
            </w:tcBorders>
            <w:shd w:val="clear" w:color="auto" w:fill="auto"/>
          </w:tcPr>
          <w:p w14:paraId="2F6142FD" w14:textId="77777777" w:rsidR="007C7EF4" w:rsidRPr="00CD459A" w:rsidRDefault="007C7EF4" w:rsidP="003B74CE">
            <w:pPr>
              <w:pStyle w:val="TableParagraph"/>
              <w:spacing w:before="82"/>
              <w:ind w:left="103" w:right="522"/>
              <w:jc w:val="both"/>
              <w:rPr>
                <w:rFonts w:ascii="Verdana" w:hAnsi="Verdana" w:cs="Arial"/>
              </w:rPr>
            </w:pPr>
            <w:r w:rsidRPr="00CD459A">
              <w:rPr>
                <w:rFonts w:ascii="Verdana" w:hAnsi="Verdana" w:cs="Arial"/>
              </w:rPr>
              <w:t>OTROS</w:t>
            </w:r>
            <w:r w:rsidRPr="00CD459A">
              <w:rPr>
                <w:rFonts w:ascii="Verdana" w:hAnsi="Verdana" w:cs="Arial"/>
                <w:spacing w:val="-8"/>
              </w:rPr>
              <w:t xml:space="preserve"> </w:t>
            </w:r>
            <w:r w:rsidRPr="00CD459A">
              <w:rPr>
                <w:rFonts w:ascii="Verdana" w:hAnsi="Verdana" w:cs="Arial"/>
              </w:rPr>
              <w:t>INGRESOS</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4153B907" w14:textId="77777777" w:rsidR="007C7EF4" w:rsidRPr="00CD459A" w:rsidRDefault="007C7EF4" w:rsidP="003B74CE">
            <w:pPr>
              <w:jc w:val="both"/>
              <w:rPr>
                <w:rFonts w:ascii="Verdana" w:hAnsi="Verdana" w:cs="Arial"/>
              </w:rPr>
            </w:pPr>
          </w:p>
        </w:tc>
      </w:tr>
    </w:tbl>
    <w:p w14:paraId="22973984" w14:textId="77777777" w:rsidR="007C7EF4" w:rsidRPr="00CD459A" w:rsidRDefault="007C7EF4" w:rsidP="007C7EF4">
      <w:pPr>
        <w:spacing w:before="1"/>
        <w:jc w:val="both"/>
        <w:rPr>
          <w:rFonts w:ascii="Verdana" w:hAnsi="Verdana" w:cs="Arial"/>
        </w:rPr>
      </w:pPr>
    </w:p>
    <w:p w14:paraId="1E86339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61D14643" w14:textId="2077FA50" w:rsidR="007C7EF4" w:rsidRDefault="007C7EF4" w:rsidP="00355F8E">
      <w:pPr>
        <w:pStyle w:val="Textoindependiente"/>
        <w:ind w:right="199"/>
        <w:rPr>
          <w:rFonts w:ascii="Verdana" w:hAnsi="Verdana" w:cs="Arial"/>
          <w:sz w:val="22"/>
          <w:szCs w:val="22"/>
        </w:rPr>
      </w:pPr>
      <w:r w:rsidRPr="00CD459A">
        <w:rPr>
          <w:rFonts w:ascii="Verdana" w:hAnsi="Verdana" w:cs="Arial"/>
          <w:sz w:val="22"/>
          <w:szCs w:val="22"/>
        </w:rPr>
        <w:t>En esta denominación, se incluyen las cuentas que representan el valor de los ingresos de la entidad que, por su naturaleza, no son susceptibles de clasificarse en algunos de los demás grupos definidos.</w:t>
      </w:r>
    </w:p>
    <w:p w14:paraId="38E9ECAC" w14:textId="77777777" w:rsidR="00355F8E" w:rsidRPr="00CD459A" w:rsidRDefault="00355F8E" w:rsidP="00355F8E">
      <w:pPr>
        <w:pStyle w:val="Textoindependiente"/>
        <w:ind w:right="199"/>
        <w:rPr>
          <w:rFonts w:ascii="Verdana" w:hAnsi="Verdana" w:cs="Arial"/>
          <w:sz w:val="22"/>
          <w:szCs w:val="22"/>
        </w:rPr>
      </w:pPr>
    </w:p>
    <w:p w14:paraId="3481700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OBJETIVO </w:t>
      </w:r>
    </w:p>
    <w:p w14:paraId="30D4A97A" w14:textId="050EB665"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 otros ingresos del Sistema General de </w:t>
      </w:r>
      <w:r w:rsidR="00355F8E" w:rsidRPr="00CD459A">
        <w:rPr>
          <w:rFonts w:ascii="Verdana" w:hAnsi="Verdana" w:cs="Arial"/>
          <w:lang w:val="es-ES_tradnl" w:eastAsia="es-CO"/>
        </w:rPr>
        <w:t>Regalías</w:t>
      </w:r>
      <w:r w:rsidRPr="00CD459A">
        <w:rPr>
          <w:rFonts w:ascii="Verdana" w:hAnsi="Verdana" w:cs="Arial"/>
          <w:lang w:val="es-ES_tradnl" w:eastAsia="es-CO"/>
        </w:rPr>
        <w:t>.</w:t>
      </w:r>
    </w:p>
    <w:p w14:paraId="69767733" w14:textId="77777777" w:rsidR="007C7EF4" w:rsidRPr="00CD459A" w:rsidRDefault="007C7EF4" w:rsidP="007C7EF4">
      <w:pPr>
        <w:suppressLineNumbers/>
        <w:tabs>
          <w:tab w:val="left" w:pos="-720"/>
        </w:tabs>
        <w:ind w:left="284" w:hanging="284"/>
        <w:jc w:val="both"/>
        <w:rPr>
          <w:rFonts w:ascii="Verdana" w:hAnsi="Verdana" w:cs="Arial"/>
        </w:rPr>
      </w:pPr>
    </w:p>
    <w:p w14:paraId="00C7BD1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ALCANCE</w:t>
      </w:r>
    </w:p>
    <w:p w14:paraId="13622C37"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Esta política se aplicará en la contabilización de otros ingresos en el SGR.</w:t>
      </w:r>
    </w:p>
    <w:p w14:paraId="38470014" w14:textId="77777777" w:rsidR="007C7EF4" w:rsidRPr="00CD459A" w:rsidRDefault="007C7EF4" w:rsidP="007C7EF4">
      <w:pPr>
        <w:suppressLineNumbers/>
        <w:tabs>
          <w:tab w:val="left" w:pos="-720"/>
        </w:tabs>
        <w:ind w:left="284" w:hanging="284"/>
        <w:jc w:val="both"/>
        <w:rPr>
          <w:rFonts w:ascii="Verdana" w:hAnsi="Verdana" w:cs="Arial"/>
        </w:rPr>
      </w:pPr>
    </w:p>
    <w:p w14:paraId="16DAC30B"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p w14:paraId="6179289A" w14:textId="77777777" w:rsidR="007C7EF4" w:rsidRPr="00CD459A" w:rsidRDefault="007C7EF4" w:rsidP="007C7EF4">
      <w:pPr>
        <w:jc w:val="both"/>
        <w:rPr>
          <w:rFonts w:ascii="Verdana" w:hAnsi="Verdana" w:cs="Arial"/>
          <w:b/>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4498"/>
        <w:gridCol w:w="174"/>
        <w:gridCol w:w="4166"/>
      </w:tblGrid>
      <w:tr w:rsidR="00CD459A" w:rsidRPr="00CD459A" w14:paraId="30D7D0AD" w14:textId="77777777" w:rsidTr="003B74CE">
        <w:trPr>
          <w:jc w:val="center"/>
        </w:trPr>
        <w:tc>
          <w:tcPr>
            <w:tcW w:w="4713" w:type="dxa"/>
            <w:gridSpan w:val="2"/>
            <w:tcBorders>
              <w:bottom w:val="nil"/>
            </w:tcBorders>
            <w:shd w:val="solid" w:color="2F5395" w:fill="FFFFFF"/>
          </w:tcPr>
          <w:p w14:paraId="00179136"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197" w:type="dxa"/>
            <w:tcBorders>
              <w:bottom w:val="nil"/>
            </w:tcBorders>
            <w:shd w:val="solid" w:color="2F5395" w:fill="FFFFFF"/>
          </w:tcPr>
          <w:p w14:paraId="232A825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2D748BF2" w14:textId="77777777" w:rsidTr="003B74CE">
        <w:trPr>
          <w:trHeight w:val="542"/>
          <w:jc w:val="center"/>
        </w:trPr>
        <w:tc>
          <w:tcPr>
            <w:tcW w:w="4536" w:type="dxa"/>
            <w:tcBorders>
              <w:bottom w:val="single" w:sz="12" w:space="0" w:color="000000"/>
            </w:tcBorders>
            <w:shd w:val="pct20" w:color="FFFFFF" w:fill="FFFFFF"/>
            <w:vAlign w:val="center"/>
          </w:tcPr>
          <w:p w14:paraId="626D4860"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374" w:type="dxa"/>
            <w:gridSpan w:val="2"/>
            <w:tcBorders>
              <w:bottom w:val="single" w:sz="12" w:space="0" w:color="000000"/>
            </w:tcBorders>
            <w:shd w:val="pct20" w:color="FFFFFF" w:fill="FFFFFF"/>
            <w:vAlign w:val="center"/>
          </w:tcPr>
          <w:p w14:paraId="157E6850"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48 – Otros Ingresos</w:t>
            </w:r>
          </w:p>
        </w:tc>
      </w:tr>
      <w:tr w:rsidR="00CD459A" w:rsidRPr="00CD459A" w14:paraId="5F928ACF" w14:textId="77777777" w:rsidTr="003B74CE">
        <w:trPr>
          <w:jc w:val="center"/>
        </w:trPr>
        <w:tc>
          <w:tcPr>
            <w:tcW w:w="4536" w:type="dxa"/>
            <w:tcBorders>
              <w:top w:val="single" w:sz="12" w:space="0" w:color="000000"/>
              <w:bottom w:val="single" w:sz="12" w:space="0" w:color="000000"/>
            </w:tcBorders>
            <w:shd w:val="pct20" w:color="FFFFFF" w:fill="FFFFFF"/>
            <w:vAlign w:val="center"/>
          </w:tcPr>
          <w:p w14:paraId="6B29964F"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Normas para el Reconocimiento, Medición, Revelación y Presentación de los Hechos Económicos </w:t>
            </w:r>
          </w:p>
        </w:tc>
        <w:tc>
          <w:tcPr>
            <w:tcW w:w="4374" w:type="dxa"/>
            <w:gridSpan w:val="2"/>
            <w:tcBorders>
              <w:top w:val="single" w:sz="12" w:space="0" w:color="000000"/>
              <w:bottom w:val="single" w:sz="12" w:space="0" w:color="000000"/>
            </w:tcBorders>
            <w:shd w:val="pct20" w:color="FFFFFF" w:fill="FFFFFF"/>
            <w:vAlign w:val="center"/>
          </w:tcPr>
          <w:p w14:paraId="357834E8"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Capítulo IV / Numeral 2. Ingresos de transacciones con contraprestación</w:t>
            </w:r>
          </w:p>
        </w:tc>
      </w:tr>
    </w:tbl>
    <w:p w14:paraId="13E421EF"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31F69588"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558C99CF"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2ED7E278" w14:textId="77777777" w:rsidTr="00355F8E">
        <w:trPr>
          <w:jc w:val="center"/>
        </w:trPr>
        <w:tc>
          <w:tcPr>
            <w:tcW w:w="3316" w:type="dxa"/>
            <w:tcBorders>
              <w:bottom w:val="single" w:sz="12" w:space="0" w:color="000000"/>
            </w:tcBorders>
            <w:shd w:val="solid" w:color="2F5395" w:fill="FFFFFF"/>
          </w:tcPr>
          <w:p w14:paraId="1E5CFF31"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2" w:type="dxa"/>
            <w:tcBorders>
              <w:bottom w:val="single" w:sz="12" w:space="0" w:color="000000"/>
            </w:tcBorders>
            <w:shd w:val="solid" w:color="2F5395" w:fill="FFFFFF"/>
          </w:tcPr>
          <w:p w14:paraId="70B6C607"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5D684186" w14:textId="77777777" w:rsidTr="00355F8E">
        <w:trPr>
          <w:jc w:val="center"/>
        </w:trPr>
        <w:tc>
          <w:tcPr>
            <w:tcW w:w="3316" w:type="dxa"/>
            <w:tcBorders>
              <w:top w:val="single" w:sz="12" w:space="0" w:color="000000"/>
              <w:bottom w:val="single" w:sz="12" w:space="0" w:color="000000"/>
            </w:tcBorders>
            <w:shd w:val="pct20" w:color="FFFFFF" w:fill="FFFFFF"/>
            <w:vAlign w:val="center"/>
          </w:tcPr>
          <w:p w14:paraId="2B17ED09"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Entidades Bancarias </w:t>
            </w:r>
          </w:p>
        </w:tc>
        <w:tc>
          <w:tcPr>
            <w:tcW w:w="5522" w:type="dxa"/>
            <w:tcBorders>
              <w:top w:val="single" w:sz="12" w:space="0" w:color="000000"/>
              <w:bottom w:val="single" w:sz="12" w:space="0" w:color="000000"/>
            </w:tcBorders>
            <w:shd w:val="pct20" w:color="FFFFFF" w:fill="FFFFFF"/>
            <w:vAlign w:val="center"/>
          </w:tcPr>
          <w:p w14:paraId="4FED4B22"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Disponer mediante plataformas y/o correo electrónico, los extractos bancarios diarios.  </w:t>
            </w:r>
          </w:p>
        </w:tc>
      </w:tr>
      <w:tr w:rsidR="00CD459A" w:rsidRPr="00CD459A" w14:paraId="3603C5C3" w14:textId="77777777" w:rsidTr="00355F8E">
        <w:trPr>
          <w:jc w:val="center"/>
        </w:trPr>
        <w:tc>
          <w:tcPr>
            <w:tcW w:w="3316" w:type="dxa"/>
            <w:tcBorders>
              <w:top w:val="single" w:sz="12" w:space="0" w:color="000000"/>
              <w:bottom w:val="single" w:sz="12" w:space="0" w:color="000000"/>
            </w:tcBorders>
            <w:shd w:val="pct20" w:color="FFFFFF" w:fill="FFFFFF"/>
            <w:vAlign w:val="center"/>
          </w:tcPr>
          <w:p w14:paraId="03A69A49"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 xml:space="preserve">Banco de la Republica   </w:t>
            </w:r>
          </w:p>
        </w:tc>
        <w:tc>
          <w:tcPr>
            <w:tcW w:w="5522" w:type="dxa"/>
            <w:tcBorders>
              <w:top w:val="single" w:sz="12" w:space="0" w:color="000000"/>
              <w:bottom w:val="single" w:sz="12" w:space="0" w:color="000000"/>
            </w:tcBorders>
            <w:shd w:val="pct20" w:color="FFFFFF" w:fill="FFFFFF"/>
            <w:vAlign w:val="center"/>
          </w:tcPr>
          <w:p w14:paraId="29798583"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El grupo de Contabilidad descarga mensualmente del portal del Banco de la República, reporte de Evolución de Ahorros por Participe del Fideicomiso FAE.</w:t>
            </w:r>
          </w:p>
        </w:tc>
      </w:tr>
      <w:tr w:rsidR="00CD459A" w:rsidRPr="00CD459A" w14:paraId="5D1847B3" w14:textId="77777777" w:rsidTr="00355F8E">
        <w:trPr>
          <w:jc w:val="center"/>
        </w:trPr>
        <w:tc>
          <w:tcPr>
            <w:tcW w:w="3316" w:type="dxa"/>
            <w:tcBorders>
              <w:top w:val="single" w:sz="12" w:space="0" w:color="000000"/>
              <w:bottom w:val="single" w:sz="12" w:space="0" w:color="000000"/>
            </w:tcBorders>
            <w:shd w:val="pct20" w:color="FFFFFF" w:fill="FFFFFF"/>
            <w:vAlign w:val="center"/>
          </w:tcPr>
          <w:p w14:paraId="49C69524"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 xml:space="preserve">Grupo de Mesa de Dinero </w:t>
            </w:r>
          </w:p>
        </w:tc>
        <w:tc>
          <w:tcPr>
            <w:tcW w:w="5522" w:type="dxa"/>
            <w:tcBorders>
              <w:top w:val="single" w:sz="12" w:space="0" w:color="000000"/>
              <w:bottom w:val="single" w:sz="12" w:space="0" w:color="000000"/>
            </w:tcBorders>
            <w:shd w:val="pct20" w:color="FFFFFF" w:fill="FFFFFF"/>
            <w:vAlign w:val="center"/>
          </w:tcPr>
          <w:p w14:paraId="625474F8"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Suministrar el detalle de las operaciones y/o inversiones realizadas con los excedentes de liquidez del SGR.</w:t>
            </w:r>
          </w:p>
        </w:tc>
      </w:tr>
      <w:tr w:rsidR="00CD459A" w:rsidRPr="00CD459A" w14:paraId="30E2C646" w14:textId="77777777" w:rsidTr="00355F8E">
        <w:trPr>
          <w:jc w:val="center"/>
        </w:trPr>
        <w:tc>
          <w:tcPr>
            <w:tcW w:w="3316" w:type="dxa"/>
            <w:tcBorders>
              <w:top w:val="single" w:sz="12" w:space="0" w:color="000000"/>
              <w:bottom w:val="single" w:sz="12" w:space="0" w:color="000000"/>
            </w:tcBorders>
            <w:shd w:val="pct20" w:color="FFFFFF" w:fill="FFFFFF"/>
            <w:vAlign w:val="center"/>
          </w:tcPr>
          <w:p w14:paraId="078396AA"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2" w:type="dxa"/>
            <w:tcBorders>
              <w:top w:val="single" w:sz="12" w:space="0" w:color="000000"/>
              <w:bottom w:val="single" w:sz="12" w:space="0" w:color="000000"/>
            </w:tcBorders>
            <w:shd w:val="pct20" w:color="FFFFFF" w:fill="FFFFFF"/>
            <w:vAlign w:val="center"/>
          </w:tcPr>
          <w:p w14:paraId="5E37BC2A"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Recibir la información de las entidades antes mencionadas para realizar el registro, medición y revelación contable correspondiente.</w:t>
            </w:r>
          </w:p>
          <w:p w14:paraId="1B3A913E"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 xml:space="preserve">Conciliar y depurar las partidas de Otros Ingresos. </w:t>
            </w:r>
          </w:p>
        </w:tc>
      </w:tr>
    </w:tbl>
    <w:p w14:paraId="06DD419A" w14:textId="77777777" w:rsidR="007C7EF4" w:rsidRPr="00CD459A" w:rsidRDefault="007C7EF4" w:rsidP="007C7EF4">
      <w:pPr>
        <w:suppressLineNumbers/>
        <w:tabs>
          <w:tab w:val="left" w:pos="-720"/>
        </w:tabs>
        <w:ind w:left="284" w:hanging="284"/>
        <w:jc w:val="both"/>
        <w:rPr>
          <w:rFonts w:ascii="Verdana" w:hAnsi="Verdana" w:cs="Arial"/>
        </w:rPr>
      </w:pPr>
    </w:p>
    <w:p w14:paraId="712A6013" w14:textId="77777777" w:rsidR="007C7EF4" w:rsidRPr="00CD459A" w:rsidRDefault="007C7EF4" w:rsidP="007C7EF4">
      <w:pPr>
        <w:suppressLineNumbers/>
        <w:tabs>
          <w:tab w:val="left" w:pos="-720"/>
        </w:tabs>
        <w:ind w:left="284" w:hanging="284"/>
        <w:jc w:val="both"/>
        <w:rPr>
          <w:rFonts w:ascii="Verdana" w:hAnsi="Verdana" w:cs="Arial"/>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7"/>
        <w:gridCol w:w="2147"/>
        <w:gridCol w:w="4829"/>
      </w:tblGrid>
      <w:tr w:rsidR="00CD459A" w:rsidRPr="00CD459A" w14:paraId="75670A75" w14:textId="77777777" w:rsidTr="003B74CE">
        <w:trPr>
          <w:trHeight w:val="387"/>
        </w:trPr>
        <w:tc>
          <w:tcPr>
            <w:tcW w:w="2007" w:type="dxa"/>
          </w:tcPr>
          <w:p w14:paraId="01B49C6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147" w:type="dxa"/>
          </w:tcPr>
          <w:p w14:paraId="08E1240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829" w:type="dxa"/>
          </w:tcPr>
          <w:p w14:paraId="402F65F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6606F33F" w14:textId="77777777" w:rsidTr="003B74CE">
        <w:trPr>
          <w:trHeight w:val="365"/>
        </w:trPr>
        <w:tc>
          <w:tcPr>
            <w:tcW w:w="2007" w:type="dxa"/>
          </w:tcPr>
          <w:p w14:paraId="0D0930B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2147" w:type="dxa"/>
          </w:tcPr>
          <w:p w14:paraId="349E2928"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48</w:t>
            </w:r>
          </w:p>
        </w:tc>
        <w:tc>
          <w:tcPr>
            <w:tcW w:w="4829" w:type="dxa"/>
          </w:tcPr>
          <w:p w14:paraId="329DAD1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480201</w:t>
            </w:r>
          </w:p>
        </w:tc>
      </w:tr>
      <w:tr w:rsidR="00CD459A" w:rsidRPr="00CD459A" w14:paraId="07595343" w14:textId="77777777" w:rsidTr="003B74CE">
        <w:trPr>
          <w:trHeight w:val="753"/>
        </w:trPr>
        <w:tc>
          <w:tcPr>
            <w:tcW w:w="2007" w:type="dxa"/>
          </w:tcPr>
          <w:p w14:paraId="33AE9D3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147" w:type="dxa"/>
          </w:tcPr>
          <w:p w14:paraId="4CD12A7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INGRESOS</w:t>
            </w:r>
          </w:p>
        </w:tc>
        <w:tc>
          <w:tcPr>
            <w:tcW w:w="4829" w:type="dxa"/>
          </w:tcPr>
          <w:p w14:paraId="0F56933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INTERESES SOBRE DEPÓSITOS EN INSTITUCIONES FINANCIERAS</w:t>
            </w:r>
          </w:p>
        </w:tc>
      </w:tr>
    </w:tbl>
    <w:p w14:paraId="08DBD502" w14:textId="77777777" w:rsidR="007C7EF4" w:rsidRPr="00CD459A" w:rsidRDefault="007C7EF4" w:rsidP="007C7EF4">
      <w:pPr>
        <w:suppressLineNumbers/>
        <w:tabs>
          <w:tab w:val="left" w:pos="-720"/>
        </w:tabs>
        <w:ind w:left="284" w:hanging="284"/>
        <w:jc w:val="both"/>
        <w:rPr>
          <w:rFonts w:ascii="Verdana" w:hAnsi="Verdana" w:cs="Arial"/>
        </w:rPr>
      </w:pPr>
    </w:p>
    <w:p w14:paraId="748772E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998E10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los rendimientos financieros generados por los depósitos remunerados constituidos en el Banco de la República a nombre del Sistema General de Regalías con los excedentes transitorios de liquidez. En cumplimiento de lo establecido en el artículo 162 de la ley 2056 de 2020, los excedentes de liquidez que se presentan como consecuencia de la diferencia entre el recaudo y el giro se han venido invirtiendo en Depósito remunerados en el Banco de la República y en Depósito remunerados por el Tesoro Nacional.</w:t>
      </w:r>
    </w:p>
    <w:p w14:paraId="78FE7135" w14:textId="77777777" w:rsidR="007C7EF4" w:rsidRPr="00CD459A" w:rsidRDefault="007C7EF4" w:rsidP="007C7EF4">
      <w:pPr>
        <w:suppressLineNumbers/>
        <w:tabs>
          <w:tab w:val="left" w:pos="-720"/>
        </w:tabs>
        <w:ind w:left="284" w:hanging="284"/>
        <w:jc w:val="both"/>
        <w:rPr>
          <w:rFonts w:ascii="Verdana" w:hAnsi="Verdana" w:cs="Arial"/>
        </w:rPr>
      </w:pPr>
    </w:p>
    <w:p w14:paraId="5449F52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5CFC4D2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Extractos Bancarios </w:t>
      </w:r>
    </w:p>
    <w:p w14:paraId="56292CA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Reporte generado en PORFIN.</w:t>
      </w:r>
    </w:p>
    <w:p w14:paraId="04A21DAB" w14:textId="77777777" w:rsidR="007C7EF4" w:rsidRPr="00CD459A" w:rsidRDefault="007C7EF4" w:rsidP="007C7EF4">
      <w:pPr>
        <w:suppressLineNumbers/>
        <w:tabs>
          <w:tab w:val="left" w:pos="-720"/>
        </w:tabs>
        <w:ind w:left="284" w:hanging="284"/>
        <w:jc w:val="both"/>
        <w:rPr>
          <w:rFonts w:ascii="Verdana" w:hAnsi="Verdana" w:cs="Arial"/>
        </w:rPr>
      </w:pPr>
    </w:p>
    <w:p w14:paraId="5A58E24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308525B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con el valor de los rendimientos financieros generados por los depósitos remunerados constituidos en el Banco de la República a favor del Sistema general de Regalías, y los rendimientos que se encuentran causados a una fecha determinada y aun no se han recaudado. </w:t>
      </w:r>
    </w:p>
    <w:p w14:paraId="7F03E1FF" w14:textId="77777777" w:rsidR="007C7EF4" w:rsidRPr="00CD459A" w:rsidRDefault="007C7EF4" w:rsidP="007C7EF4">
      <w:pPr>
        <w:suppressLineNumbers/>
        <w:tabs>
          <w:tab w:val="left" w:pos="-720"/>
        </w:tabs>
        <w:ind w:left="284" w:hanging="284"/>
        <w:jc w:val="both"/>
        <w:rPr>
          <w:rFonts w:ascii="Verdana" w:hAnsi="Verdana" w:cs="Arial"/>
        </w:rPr>
      </w:pPr>
    </w:p>
    <w:p w14:paraId="5301E6A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365CEC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reflejar las operaciones relacionadas con los rendimientos financieros generados por los depósitos remunerados constituidos en el Banco de la República a favor del Sistema general de Regalías se realiza a partir de la información que suministra el Sistema de portafolio – PORFIN de la subdirección de tesorería, con el valor de los rendimientos generados por cada título en la fecha de su vencimiento.</w:t>
      </w:r>
    </w:p>
    <w:p w14:paraId="33BB3D01" w14:textId="77777777" w:rsidR="007C7EF4" w:rsidRPr="00CD459A" w:rsidRDefault="007C7EF4" w:rsidP="007C7EF4">
      <w:pPr>
        <w:suppressLineNumbers/>
        <w:tabs>
          <w:tab w:val="left" w:pos="-720"/>
        </w:tabs>
        <w:ind w:left="284" w:hanging="284"/>
        <w:jc w:val="both"/>
        <w:rPr>
          <w:rFonts w:ascii="Verdana" w:hAnsi="Verdana" w:cs="Arial"/>
        </w:rPr>
      </w:pPr>
    </w:p>
    <w:p w14:paraId="38B16EE2" w14:textId="585545DA"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09F7AFF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cada Depósito remunerado vigente a la fecha de corte, se revelará la información suficiente para identificarlo como: Número de operación, Costo, Total Rendimientos, Valor final, Tasa, Fecha de emisión, Fecha de vencimiento, plazo, Costo, Valor rendimientos causados por recaudar.</w:t>
      </w:r>
    </w:p>
    <w:p w14:paraId="7E2664BA" w14:textId="77777777" w:rsidR="007C7EF4" w:rsidRPr="00CD459A" w:rsidRDefault="007C7EF4" w:rsidP="007C7EF4">
      <w:pPr>
        <w:suppressLineNumbers/>
        <w:tabs>
          <w:tab w:val="left" w:pos="-720"/>
        </w:tabs>
        <w:jc w:val="both"/>
        <w:rPr>
          <w:rFonts w:ascii="Verdana" w:hAnsi="Verdana" w:cs="Arial"/>
        </w:rPr>
      </w:pPr>
    </w:p>
    <w:p w14:paraId="21F3372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0A975EC9" w14:textId="77777777" w:rsidR="007C7EF4" w:rsidRPr="00CD459A" w:rsidRDefault="007C7EF4" w:rsidP="007C7EF4">
      <w:pPr>
        <w:suppressLineNumbers/>
        <w:tabs>
          <w:tab w:val="left" w:pos="-720"/>
        </w:tabs>
        <w:ind w:left="284" w:hanging="284"/>
        <w:jc w:val="both"/>
        <w:rPr>
          <w:rFonts w:ascii="Verdana" w:hAnsi="Verdana" w:cs="Arial"/>
        </w:rPr>
      </w:pPr>
    </w:p>
    <w:p w14:paraId="6C1BFE6A"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47BC1907" w14:textId="77777777" w:rsidR="007C7EF4" w:rsidRPr="00CD459A" w:rsidRDefault="007C7EF4" w:rsidP="00AB3D96">
      <w:pPr>
        <w:pStyle w:val="Prrafodelista"/>
        <w:widowControl w:val="0"/>
        <w:numPr>
          <w:ilvl w:val="0"/>
          <w:numId w:val="64"/>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590501- Cierre de ingresos gastos y costos.</w:t>
      </w:r>
    </w:p>
    <w:p w14:paraId="1618EDF9" w14:textId="77777777" w:rsidR="007C7EF4" w:rsidRPr="00CD459A" w:rsidRDefault="007C7EF4" w:rsidP="007C7EF4">
      <w:pPr>
        <w:pStyle w:val="Prrafodelista"/>
        <w:widowControl w:val="0"/>
        <w:autoSpaceDE w:val="0"/>
        <w:autoSpaceDN w:val="0"/>
        <w:adjustRightInd w:val="0"/>
        <w:ind w:left="426"/>
        <w:jc w:val="both"/>
        <w:rPr>
          <w:rFonts w:ascii="Verdana" w:hAnsi="Verdana" w:cs="Arial"/>
        </w:rPr>
      </w:pPr>
    </w:p>
    <w:p w14:paraId="556E276C"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4478A038" w14:textId="77777777" w:rsidR="007C7EF4" w:rsidRPr="00CD459A" w:rsidRDefault="007C7EF4" w:rsidP="00AB3D96">
      <w:pPr>
        <w:pStyle w:val="Prrafodelista"/>
        <w:widowControl w:val="0"/>
        <w:numPr>
          <w:ilvl w:val="0"/>
          <w:numId w:val="63"/>
        </w:numPr>
        <w:autoSpaceDE w:val="0"/>
        <w:autoSpaceDN w:val="0"/>
        <w:adjustRightInd w:val="0"/>
        <w:spacing w:line="240" w:lineRule="auto"/>
        <w:jc w:val="both"/>
        <w:rPr>
          <w:rFonts w:ascii="Verdana" w:hAnsi="Verdana" w:cs="Arial"/>
        </w:rPr>
      </w:pPr>
      <w:r w:rsidRPr="00CD459A">
        <w:rPr>
          <w:rFonts w:ascii="Verdana" w:hAnsi="Verdana" w:cs="Arial"/>
        </w:rPr>
        <w:t>El valor causado por concepto de los rendimientos financieros generados por los depósitos remunerados constituidos en el banco de la república a nombre del Sistema General de Regalías, con debito a la subcuenta 111012 – Depósitos remunerados.</w:t>
      </w:r>
    </w:p>
    <w:p w14:paraId="62A760BB"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55"/>
        <w:gridCol w:w="2268"/>
        <w:gridCol w:w="5056"/>
      </w:tblGrid>
      <w:tr w:rsidR="00CD459A" w:rsidRPr="00CD459A" w14:paraId="2899B69E" w14:textId="77777777" w:rsidTr="003B74CE">
        <w:tc>
          <w:tcPr>
            <w:tcW w:w="1555" w:type="dxa"/>
          </w:tcPr>
          <w:p w14:paraId="4A36BE5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268" w:type="dxa"/>
          </w:tcPr>
          <w:p w14:paraId="3131430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056" w:type="dxa"/>
          </w:tcPr>
          <w:p w14:paraId="49E6716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5C722D1C" w14:textId="77777777" w:rsidTr="003B74CE">
        <w:tc>
          <w:tcPr>
            <w:tcW w:w="1555" w:type="dxa"/>
          </w:tcPr>
          <w:p w14:paraId="2BFF8D56" w14:textId="77777777" w:rsidR="007C7EF4" w:rsidRPr="00CD459A" w:rsidRDefault="007C7EF4" w:rsidP="003B74CE">
            <w:pPr>
              <w:widowControl w:val="0"/>
              <w:autoSpaceDE w:val="0"/>
              <w:autoSpaceDN w:val="0"/>
              <w:adjustRightInd w:val="0"/>
              <w:rPr>
                <w:rFonts w:ascii="Verdana" w:hAnsi="Verdana" w:cs="Arial"/>
                <w:bCs/>
              </w:rPr>
            </w:pPr>
            <w:r w:rsidRPr="00CD459A">
              <w:rPr>
                <w:rFonts w:ascii="Verdana" w:hAnsi="Verdana" w:cs="Arial"/>
                <w:bCs/>
              </w:rPr>
              <w:t>4</w:t>
            </w:r>
          </w:p>
        </w:tc>
        <w:tc>
          <w:tcPr>
            <w:tcW w:w="2268" w:type="dxa"/>
          </w:tcPr>
          <w:p w14:paraId="05DDF017" w14:textId="77777777" w:rsidR="007C7EF4" w:rsidRPr="00CD459A" w:rsidRDefault="007C7EF4" w:rsidP="003B74CE">
            <w:pPr>
              <w:widowControl w:val="0"/>
              <w:autoSpaceDE w:val="0"/>
              <w:autoSpaceDN w:val="0"/>
              <w:adjustRightInd w:val="0"/>
              <w:rPr>
                <w:rFonts w:ascii="Verdana" w:hAnsi="Verdana" w:cs="Arial"/>
                <w:bCs/>
              </w:rPr>
            </w:pPr>
            <w:r w:rsidRPr="00CD459A">
              <w:rPr>
                <w:rFonts w:ascii="Verdana" w:hAnsi="Verdana" w:cs="Arial"/>
                <w:bCs/>
              </w:rPr>
              <w:t>48</w:t>
            </w:r>
          </w:p>
        </w:tc>
        <w:tc>
          <w:tcPr>
            <w:tcW w:w="5056" w:type="dxa"/>
          </w:tcPr>
          <w:p w14:paraId="2E505FA6" w14:textId="77777777" w:rsidR="007C7EF4" w:rsidRPr="00CD459A" w:rsidRDefault="007C7EF4" w:rsidP="003B74CE">
            <w:pPr>
              <w:widowControl w:val="0"/>
              <w:autoSpaceDE w:val="0"/>
              <w:autoSpaceDN w:val="0"/>
              <w:adjustRightInd w:val="0"/>
              <w:rPr>
                <w:rFonts w:ascii="Verdana" w:hAnsi="Verdana" w:cs="Arial"/>
                <w:bCs/>
              </w:rPr>
            </w:pPr>
            <w:r w:rsidRPr="00CD459A">
              <w:rPr>
                <w:rFonts w:ascii="Verdana" w:hAnsi="Verdana" w:cs="Arial"/>
                <w:bCs/>
              </w:rPr>
              <w:t>480232</w:t>
            </w:r>
          </w:p>
        </w:tc>
      </w:tr>
      <w:tr w:rsidR="00CD459A" w:rsidRPr="00CD459A" w14:paraId="34DE1417" w14:textId="77777777" w:rsidTr="003B74CE">
        <w:tc>
          <w:tcPr>
            <w:tcW w:w="1555" w:type="dxa"/>
          </w:tcPr>
          <w:p w14:paraId="233961CB"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268" w:type="dxa"/>
          </w:tcPr>
          <w:p w14:paraId="6B695B5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INGRESOS</w:t>
            </w:r>
          </w:p>
        </w:tc>
        <w:tc>
          <w:tcPr>
            <w:tcW w:w="5056" w:type="dxa"/>
          </w:tcPr>
          <w:p w14:paraId="43E149E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RENDIMIENTOS SOBRE RECURSOS ENTREGADOS EN ADMINISTRACIÓN</w:t>
            </w:r>
          </w:p>
        </w:tc>
      </w:tr>
    </w:tbl>
    <w:p w14:paraId="46B58E06" w14:textId="77777777" w:rsidR="007C7EF4" w:rsidRPr="00CD459A" w:rsidRDefault="007C7EF4" w:rsidP="007C7EF4">
      <w:pPr>
        <w:suppressLineNumbers/>
        <w:tabs>
          <w:tab w:val="left" w:pos="-720"/>
        </w:tabs>
        <w:ind w:left="284" w:hanging="284"/>
        <w:jc w:val="both"/>
        <w:rPr>
          <w:rFonts w:ascii="Verdana" w:hAnsi="Verdana" w:cs="Arial"/>
        </w:rPr>
      </w:pPr>
    </w:p>
    <w:p w14:paraId="3E16439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61F106B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los rendimientos financieros generados por los depósitos remunerados por el Tesoro Nacional constituidos con los excedentes transitorios de liquidez. En cumplimiento de lo establecido en el artículo 162 de la ley 2056 de 2020, los excedentes de liquidez que se presentan como consecuencia de la diferencia entre el recaudo y el giro se han venido invirtiendo en Depósito remunerados en el Banco de la República y en Depósito remunerados por el Tesoro Nacional.</w:t>
      </w:r>
    </w:p>
    <w:p w14:paraId="769ABFE4" w14:textId="77777777" w:rsidR="007C7EF4" w:rsidRPr="00CD459A" w:rsidRDefault="007C7EF4" w:rsidP="007C7EF4">
      <w:pPr>
        <w:suppressLineNumbers/>
        <w:tabs>
          <w:tab w:val="left" w:pos="-720"/>
        </w:tabs>
        <w:ind w:left="284" w:hanging="284"/>
        <w:jc w:val="both"/>
        <w:rPr>
          <w:rFonts w:ascii="Verdana" w:hAnsi="Verdana" w:cs="Arial"/>
        </w:rPr>
      </w:pPr>
    </w:p>
    <w:p w14:paraId="29C076E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BDFE8A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que resulte de multiplicar el valor de utilidades reportado mensualmente por el Banco de la República por la TRM del último día del mes objeto de reporte.</w:t>
      </w:r>
    </w:p>
    <w:p w14:paraId="67EE46E1" w14:textId="77777777" w:rsidR="007C7EF4" w:rsidRPr="00CD459A" w:rsidRDefault="007C7EF4" w:rsidP="007C7EF4">
      <w:pPr>
        <w:suppressLineNumbers/>
        <w:tabs>
          <w:tab w:val="left" w:pos="-720"/>
        </w:tabs>
        <w:ind w:left="284" w:hanging="284"/>
        <w:jc w:val="both"/>
        <w:rPr>
          <w:rFonts w:ascii="Verdana" w:hAnsi="Verdana" w:cs="Arial"/>
        </w:rPr>
      </w:pPr>
    </w:p>
    <w:p w14:paraId="3B22269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5DEFFD1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Extractos Bancarios </w:t>
      </w:r>
    </w:p>
    <w:p w14:paraId="5ACE132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Reporte generado en PORFIN.</w:t>
      </w:r>
    </w:p>
    <w:p w14:paraId="2EC0D1C6" w14:textId="77777777" w:rsidR="007C7EF4" w:rsidRPr="00CD459A" w:rsidRDefault="007C7EF4" w:rsidP="007C7EF4">
      <w:pPr>
        <w:suppressLineNumbers/>
        <w:tabs>
          <w:tab w:val="left" w:pos="-720"/>
        </w:tabs>
        <w:ind w:left="284" w:hanging="284"/>
        <w:jc w:val="both"/>
        <w:rPr>
          <w:rFonts w:ascii="Verdana" w:hAnsi="Verdana" w:cs="Arial"/>
        </w:rPr>
      </w:pPr>
    </w:p>
    <w:p w14:paraId="363C6B4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727FBD7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con el valor de los rendimientos financieros generados por los depósitos remunerados por el Tesoro Nacional, y los rendimientos que se encuentran causados a una fecha determinada y aun no se han recaudado.   </w:t>
      </w:r>
    </w:p>
    <w:p w14:paraId="29950D2C" w14:textId="77777777" w:rsidR="007C7EF4" w:rsidRPr="00CD459A" w:rsidRDefault="007C7EF4" w:rsidP="007C7EF4">
      <w:pPr>
        <w:suppressLineNumbers/>
        <w:tabs>
          <w:tab w:val="left" w:pos="-720"/>
        </w:tabs>
        <w:ind w:left="284" w:hanging="284"/>
        <w:jc w:val="both"/>
        <w:rPr>
          <w:rFonts w:ascii="Verdana" w:hAnsi="Verdana" w:cs="Arial"/>
        </w:rPr>
      </w:pPr>
    </w:p>
    <w:p w14:paraId="562723A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1D383E0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cada Depósito remunerado vigente a la fecha de corte, se revelará la información suficiente para identificarlo como: Número de operación, Costo, Total Rendimientos, Valor final, Tasa, Fecha de emisión, Fecha de vencimiento, plazo, Costo, Valor rendimientos causados por recaudar.</w:t>
      </w:r>
    </w:p>
    <w:p w14:paraId="11B0D642" w14:textId="77777777" w:rsidR="007C7EF4" w:rsidRPr="00CD459A" w:rsidRDefault="007C7EF4" w:rsidP="007C7EF4">
      <w:pPr>
        <w:suppressLineNumbers/>
        <w:tabs>
          <w:tab w:val="left" w:pos="-720"/>
        </w:tabs>
        <w:jc w:val="both"/>
        <w:rPr>
          <w:rFonts w:ascii="Verdana" w:hAnsi="Verdana" w:cs="Arial"/>
        </w:rPr>
      </w:pPr>
    </w:p>
    <w:p w14:paraId="4818668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B227753" w14:textId="77777777" w:rsidR="007C7EF4" w:rsidRPr="00CD459A" w:rsidRDefault="007C7EF4" w:rsidP="007C7EF4">
      <w:pPr>
        <w:suppressLineNumbers/>
        <w:tabs>
          <w:tab w:val="left" w:pos="-720"/>
        </w:tabs>
        <w:ind w:left="284" w:hanging="284"/>
        <w:jc w:val="both"/>
        <w:rPr>
          <w:rFonts w:ascii="Verdana" w:hAnsi="Verdana" w:cs="Arial"/>
        </w:rPr>
      </w:pPr>
    </w:p>
    <w:p w14:paraId="0FFCF52D" w14:textId="7CAEC8AB" w:rsidR="007C7EF4" w:rsidRPr="00CD459A" w:rsidRDefault="007C7EF4" w:rsidP="00355F8E">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76566E66" w14:textId="77777777" w:rsidR="007C7EF4" w:rsidRDefault="007C7EF4" w:rsidP="00AB3D96">
      <w:pPr>
        <w:pStyle w:val="Prrafodelista"/>
        <w:widowControl w:val="0"/>
        <w:numPr>
          <w:ilvl w:val="0"/>
          <w:numId w:val="55"/>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590501- Cierre de ingresos gastos y costos.</w:t>
      </w:r>
    </w:p>
    <w:p w14:paraId="23CFF9CC" w14:textId="77777777" w:rsidR="00355F8E" w:rsidRPr="00CD459A" w:rsidRDefault="00355F8E" w:rsidP="00355F8E">
      <w:pPr>
        <w:pStyle w:val="Prrafodelista"/>
        <w:widowControl w:val="0"/>
        <w:autoSpaceDE w:val="0"/>
        <w:autoSpaceDN w:val="0"/>
        <w:adjustRightInd w:val="0"/>
        <w:spacing w:line="240" w:lineRule="auto"/>
        <w:jc w:val="both"/>
        <w:rPr>
          <w:rFonts w:ascii="Verdana" w:hAnsi="Verdana" w:cs="Arial"/>
        </w:rPr>
      </w:pPr>
    </w:p>
    <w:p w14:paraId="6CD641F4"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74E7B5B3" w14:textId="77777777" w:rsidR="007C7EF4" w:rsidRPr="00CD459A" w:rsidRDefault="007C7EF4" w:rsidP="00AB3D96">
      <w:pPr>
        <w:pStyle w:val="Prrafodelista"/>
        <w:widowControl w:val="0"/>
        <w:numPr>
          <w:ilvl w:val="0"/>
          <w:numId w:val="56"/>
        </w:numPr>
        <w:autoSpaceDE w:val="0"/>
        <w:autoSpaceDN w:val="0"/>
        <w:adjustRightInd w:val="0"/>
        <w:spacing w:line="240" w:lineRule="auto"/>
        <w:jc w:val="both"/>
        <w:rPr>
          <w:rFonts w:ascii="Verdana" w:hAnsi="Verdana" w:cs="Arial"/>
        </w:rPr>
      </w:pPr>
      <w:r w:rsidRPr="00CD459A">
        <w:rPr>
          <w:rFonts w:ascii="Verdana" w:hAnsi="Verdana" w:cs="Arial"/>
        </w:rPr>
        <w:t>El valor causado por concepto de los rendimientos financieros generados por los depósitos remunerados por el Tesoro Nacional, con debito a la subcuenta 111012 – Depósitos remunerados.</w:t>
      </w:r>
    </w:p>
    <w:p w14:paraId="78329906"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2547"/>
        <w:gridCol w:w="4348"/>
      </w:tblGrid>
      <w:tr w:rsidR="00CD459A" w:rsidRPr="00CD459A" w14:paraId="61EBA193" w14:textId="77777777" w:rsidTr="003B74CE">
        <w:tc>
          <w:tcPr>
            <w:tcW w:w="1984" w:type="dxa"/>
          </w:tcPr>
          <w:p w14:paraId="482564E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547" w:type="dxa"/>
          </w:tcPr>
          <w:p w14:paraId="5D9CD725"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348" w:type="dxa"/>
          </w:tcPr>
          <w:p w14:paraId="64F68F7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3DCCA5AB" w14:textId="77777777" w:rsidTr="003B74CE">
        <w:tc>
          <w:tcPr>
            <w:tcW w:w="1984" w:type="dxa"/>
          </w:tcPr>
          <w:p w14:paraId="27A2653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2547" w:type="dxa"/>
          </w:tcPr>
          <w:p w14:paraId="1C11962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48</w:t>
            </w:r>
          </w:p>
        </w:tc>
        <w:tc>
          <w:tcPr>
            <w:tcW w:w="4348" w:type="dxa"/>
          </w:tcPr>
          <w:p w14:paraId="69BAC96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480240</w:t>
            </w:r>
          </w:p>
        </w:tc>
      </w:tr>
      <w:tr w:rsidR="00CD459A" w:rsidRPr="00CD459A" w14:paraId="070BBC37" w14:textId="77777777" w:rsidTr="003B74CE">
        <w:tc>
          <w:tcPr>
            <w:tcW w:w="1984" w:type="dxa"/>
          </w:tcPr>
          <w:p w14:paraId="6EFC6EA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547" w:type="dxa"/>
          </w:tcPr>
          <w:p w14:paraId="652D0AB3"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INGRESOS</w:t>
            </w:r>
          </w:p>
        </w:tc>
        <w:tc>
          <w:tcPr>
            <w:tcW w:w="4348" w:type="dxa"/>
          </w:tcPr>
          <w:p w14:paraId="0C006AB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 xml:space="preserve">RENDIMIENTOS DE RECURSOS DEL SISTEMA GENERAL DE REGALIAS </w:t>
            </w:r>
          </w:p>
        </w:tc>
      </w:tr>
    </w:tbl>
    <w:p w14:paraId="68403E81" w14:textId="77777777" w:rsidR="007C7EF4" w:rsidRPr="00CD459A" w:rsidRDefault="007C7EF4" w:rsidP="007C7EF4">
      <w:pPr>
        <w:suppressLineNumbers/>
        <w:tabs>
          <w:tab w:val="left" w:pos="-720"/>
        </w:tabs>
        <w:ind w:left="284" w:hanging="284"/>
        <w:jc w:val="both"/>
        <w:rPr>
          <w:rFonts w:ascii="Verdana" w:hAnsi="Verdana" w:cs="Arial"/>
        </w:rPr>
      </w:pPr>
    </w:p>
    <w:p w14:paraId="03AAC15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610D39B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los rendimientos financieros generados por los recursos del Sistema General de Regalías. Existen dos grandes componentes que generan lo recursos que se reflejan en esta subcuenta, la remuneración del saldo de la cuenta 61016960, de conformidad con lo establecido en el numeral 2.6 de la circular externa operativa y de servicios DOAM 276 de diciembre 19 de 2020, expedida por el Banco de la República y los saldos en cuentas bancarias de entidades que manejan recursos cuyos rendimientos son propiedad del Sistema General de Regalías.</w:t>
      </w:r>
    </w:p>
    <w:p w14:paraId="536C5562" w14:textId="77777777" w:rsidR="007C7EF4" w:rsidRPr="00CD459A" w:rsidRDefault="007C7EF4" w:rsidP="007C7EF4">
      <w:pPr>
        <w:suppressLineNumbers/>
        <w:tabs>
          <w:tab w:val="left" w:pos="-720"/>
        </w:tabs>
        <w:ind w:left="284" w:hanging="284"/>
        <w:jc w:val="both"/>
        <w:rPr>
          <w:rFonts w:ascii="Verdana" w:hAnsi="Verdana" w:cs="Arial"/>
        </w:rPr>
      </w:pPr>
    </w:p>
    <w:p w14:paraId="7E146F0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C87C80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de la transacción, que corresponde a las entradas a las cuentas bancarias habilitadas para el manejo de rendimientos financieros del Sistema General de Regalías.</w:t>
      </w:r>
    </w:p>
    <w:p w14:paraId="10109420" w14:textId="77777777" w:rsidR="007C7EF4" w:rsidRPr="00CD459A" w:rsidRDefault="007C7EF4" w:rsidP="007C7EF4">
      <w:pPr>
        <w:suppressLineNumbers/>
        <w:tabs>
          <w:tab w:val="left" w:pos="-720"/>
        </w:tabs>
        <w:ind w:left="284" w:hanging="284"/>
        <w:jc w:val="both"/>
        <w:rPr>
          <w:rFonts w:ascii="Verdana" w:hAnsi="Verdana" w:cs="Arial"/>
        </w:rPr>
      </w:pPr>
    </w:p>
    <w:p w14:paraId="670F473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48E12E4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Extractos Bancarios</w:t>
      </w:r>
    </w:p>
    <w:p w14:paraId="01B9164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Reporte Remitido por PORFIN. </w:t>
      </w:r>
    </w:p>
    <w:p w14:paraId="13B24318" w14:textId="77777777" w:rsidR="007C7EF4" w:rsidRPr="00CD459A" w:rsidRDefault="007C7EF4" w:rsidP="007C7EF4">
      <w:pPr>
        <w:suppressLineNumbers/>
        <w:tabs>
          <w:tab w:val="left" w:pos="-720"/>
        </w:tabs>
        <w:ind w:left="284" w:hanging="284"/>
        <w:jc w:val="both"/>
        <w:rPr>
          <w:rFonts w:ascii="Verdana" w:hAnsi="Verdana" w:cs="Arial"/>
        </w:rPr>
      </w:pPr>
    </w:p>
    <w:p w14:paraId="38C4A4C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5CC948D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Los movimientos contables se comparan con los créditos del extracto bancario de la cuenta 61016960 del Banco de la república que corresponden a rendimientos financieros y los movimientos crédito del extracto de la cuenta 300700006830 del Banco Agrario. </w:t>
      </w:r>
    </w:p>
    <w:p w14:paraId="30FC0FFC" w14:textId="77777777" w:rsidR="007C7EF4" w:rsidRPr="00CD459A" w:rsidRDefault="007C7EF4" w:rsidP="007C7EF4">
      <w:pPr>
        <w:suppressLineNumbers/>
        <w:tabs>
          <w:tab w:val="left" w:pos="-720"/>
        </w:tabs>
        <w:ind w:left="284" w:hanging="284"/>
        <w:jc w:val="both"/>
        <w:rPr>
          <w:rFonts w:ascii="Verdana" w:hAnsi="Verdana" w:cs="Arial"/>
        </w:rPr>
      </w:pPr>
    </w:p>
    <w:p w14:paraId="50FE130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3BE5FBC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cuanto es el valor generado en la cuenta pagadora y el valor generado en cuentas bancarias donde se administran recursos del Sistema General de Regalías, de este último componente se detallan las entidades que generaron los valores más representativos.</w:t>
      </w:r>
    </w:p>
    <w:p w14:paraId="0E7FA87F" w14:textId="77777777" w:rsidR="00355F8E" w:rsidRDefault="00355F8E" w:rsidP="007C7EF4">
      <w:pPr>
        <w:suppressLineNumbers/>
        <w:tabs>
          <w:tab w:val="left" w:pos="-720"/>
        </w:tabs>
        <w:ind w:left="284" w:hanging="284"/>
        <w:jc w:val="both"/>
        <w:rPr>
          <w:rFonts w:ascii="Verdana" w:hAnsi="Verdana" w:cs="Arial"/>
        </w:rPr>
      </w:pPr>
    </w:p>
    <w:p w14:paraId="6634F66F" w14:textId="7DF72CD3"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18DEFA63" w14:textId="77777777" w:rsidR="007C7EF4" w:rsidRPr="00CD459A" w:rsidRDefault="007C7EF4" w:rsidP="007C7EF4">
      <w:pPr>
        <w:suppressLineNumbers/>
        <w:tabs>
          <w:tab w:val="left" w:pos="-720"/>
        </w:tabs>
        <w:ind w:left="284" w:hanging="284"/>
        <w:jc w:val="both"/>
        <w:rPr>
          <w:rFonts w:ascii="Verdana" w:hAnsi="Verdana" w:cs="Arial"/>
        </w:rPr>
      </w:pPr>
    </w:p>
    <w:p w14:paraId="3D3862C9"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27DA4EE2" w14:textId="77777777" w:rsidR="007C7EF4" w:rsidRPr="00CD459A" w:rsidRDefault="007C7EF4" w:rsidP="00AB3D96">
      <w:pPr>
        <w:pStyle w:val="Prrafodelista"/>
        <w:widowControl w:val="0"/>
        <w:numPr>
          <w:ilvl w:val="0"/>
          <w:numId w:val="66"/>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590501- Cierre de ingresos gastos y costos.</w:t>
      </w:r>
    </w:p>
    <w:p w14:paraId="7D1100AD" w14:textId="77777777" w:rsidR="007C7EF4" w:rsidRPr="00CD459A" w:rsidRDefault="007C7EF4" w:rsidP="007C7EF4">
      <w:pPr>
        <w:widowControl w:val="0"/>
        <w:autoSpaceDE w:val="0"/>
        <w:autoSpaceDN w:val="0"/>
        <w:adjustRightInd w:val="0"/>
        <w:ind w:left="360"/>
        <w:jc w:val="both"/>
        <w:rPr>
          <w:rFonts w:ascii="Verdana" w:hAnsi="Verdana" w:cs="Arial"/>
        </w:rPr>
      </w:pPr>
    </w:p>
    <w:p w14:paraId="1053DF1E"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1C49354A" w14:textId="77777777" w:rsidR="007C7EF4" w:rsidRPr="00CD459A" w:rsidRDefault="007C7EF4" w:rsidP="00AB3D96">
      <w:pPr>
        <w:pStyle w:val="Prrafodelista"/>
        <w:widowControl w:val="0"/>
        <w:numPr>
          <w:ilvl w:val="0"/>
          <w:numId w:val="65"/>
        </w:numPr>
        <w:suppressLineNumbers/>
        <w:tabs>
          <w:tab w:val="left" w:pos="-720"/>
        </w:tabs>
        <w:autoSpaceDE w:val="0"/>
        <w:autoSpaceDN w:val="0"/>
        <w:adjustRightInd w:val="0"/>
        <w:spacing w:line="240" w:lineRule="auto"/>
        <w:jc w:val="both"/>
        <w:rPr>
          <w:rFonts w:ascii="Verdana" w:hAnsi="Verdana" w:cs="Arial"/>
        </w:rPr>
      </w:pPr>
      <w:r w:rsidRPr="00CD459A">
        <w:rPr>
          <w:rFonts w:ascii="Verdana" w:hAnsi="Verdana" w:cs="Arial"/>
        </w:rPr>
        <w:t>El valor de los movimientos crédito del extracto de las cuentas bancarias habilitadas para el recaudo de rendimientos financieros del Sistema General de regalías, con debito a la subcuenta 114001 – Sistema General de Regalías.</w:t>
      </w:r>
    </w:p>
    <w:p w14:paraId="3F8E2908"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2122"/>
        <w:gridCol w:w="4773"/>
      </w:tblGrid>
      <w:tr w:rsidR="00CD459A" w:rsidRPr="00CD459A" w14:paraId="242ABEEE" w14:textId="77777777" w:rsidTr="003B74CE">
        <w:tc>
          <w:tcPr>
            <w:tcW w:w="1984" w:type="dxa"/>
            <w:tcBorders>
              <w:top w:val="single" w:sz="4" w:space="0" w:color="auto"/>
              <w:left w:val="single" w:sz="4" w:space="0" w:color="auto"/>
              <w:bottom w:val="single" w:sz="4" w:space="0" w:color="auto"/>
              <w:right w:val="single" w:sz="4" w:space="0" w:color="auto"/>
            </w:tcBorders>
          </w:tcPr>
          <w:p w14:paraId="4BC8E6E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122" w:type="dxa"/>
            <w:tcBorders>
              <w:top w:val="single" w:sz="4" w:space="0" w:color="auto"/>
              <w:left w:val="single" w:sz="4" w:space="0" w:color="auto"/>
              <w:bottom w:val="single" w:sz="4" w:space="0" w:color="auto"/>
              <w:right w:val="single" w:sz="4" w:space="0" w:color="auto"/>
            </w:tcBorders>
          </w:tcPr>
          <w:p w14:paraId="754E30C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773" w:type="dxa"/>
            <w:tcBorders>
              <w:top w:val="single" w:sz="4" w:space="0" w:color="auto"/>
              <w:left w:val="single" w:sz="4" w:space="0" w:color="auto"/>
              <w:bottom w:val="single" w:sz="4" w:space="0" w:color="auto"/>
              <w:right w:val="single" w:sz="4" w:space="0" w:color="auto"/>
            </w:tcBorders>
          </w:tcPr>
          <w:p w14:paraId="53B364B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06A5013A" w14:textId="77777777" w:rsidTr="003B74CE">
        <w:tc>
          <w:tcPr>
            <w:tcW w:w="1984" w:type="dxa"/>
          </w:tcPr>
          <w:p w14:paraId="16EB882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w:t>
            </w:r>
          </w:p>
        </w:tc>
        <w:tc>
          <w:tcPr>
            <w:tcW w:w="2122" w:type="dxa"/>
          </w:tcPr>
          <w:p w14:paraId="64D22165"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w:t>
            </w:r>
          </w:p>
        </w:tc>
        <w:tc>
          <w:tcPr>
            <w:tcW w:w="4773" w:type="dxa"/>
          </w:tcPr>
          <w:p w14:paraId="6C57FD8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480601</w:t>
            </w:r>
          </w:p>
        </w:tc>
      </w:tr>
      <w:tr w:rsidR="00CD459A" w:rsidRPr="00CD459A" w14:paraId="68F61928" w14:textId="77777777" w:rsidTr="003B74CE">
        <w:tc>
          <w:tcPr>
            <w:tcW w:w="1984" w:type="dxa"/>
          </w:tcPr>
          <w:p w14:paraId="032CCCF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w:t>
            </w:r>
          </w:p>
        </w:tc>
        <w:tc>
          <w:tcPr>
            <w:tcW w:w="2122" w:type="dxa"/>
          </w:tcPr>
          <w:p w14:paraId="68BED5DF"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OTROS INGRESOS</w:t>
            </w:r>
          </w:p>
        </w:tc>
        <w:tc>
          <w:tcPr>
            <w:tcW w:w="4773" w:type="dxa"/>
          </w:tcPr>
          <w:p w14:paraId="7C1FBF2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EFECTIVO Y EQUIVALENTES AL EFECTIVO</w:t>
            </w:r>
          </w:p>
        </w:tc>
      </w:tr>
    </w:tbl>
    <w:p w14:paraId="004189B4" w14:textId="77777777" w:rsidR="007C7EF4" w:rsidRPr="00CD459A" w:rsidRDefault="007C7EF4" w:rsidP="007C7EF4">
      <w:pPr>
        <w:suppressLineNumbers/>
        <w:tabs>
          <w:tab w:val="left" w:pos="-720"/>
        </w:tabs>
        <w:ind w:left="284" w:hanging="284"/>
        <w:jc w:val="both"/>
        <w:rPr>
          <w:rFonts w:ascii="Verdana" w:hAnsi="Verdana" w:cs="Arial"/>
        </w:rPr>
      </w:pPr>
    </w:p>
    <w:p w14:paraId="25D384B1" w14:textId="1A6DE7BA" w:rsidR="007C7EF4" w:rsidRPr="00CD459A" w:rsidRDefault="007C7EF4" w:rsidP="00355F8E">
      <w:pPr>
        <w:suppressLineNumbers/>
        <w:tabs>
          <w:tab w:val="left" w:pos="-720"/>
        </w:tabs>
        <w:ind w:left="284" w:hanging="284"/>
        <w:jc w:val="both"/>
        <w:rPr>
          <w:rFonts w:ascii="Verdana" w:hAnsi="Verdana" w:cs="Arial"/>
        </w:rPr>
      </w:pPr>
      <w:r w:rsidRPr="00CD459A">
        <w:rPr>
          <w:rFonts w:ascii="Verdana" w:hAnsi="Verdana" w:cs="Arial"/>
        </w:rPr>
        <w:t>DESCRIPCIÓN</w:t>
      </w:r>
    </w:p>
    <w:p w14:paraId="3E9630C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registra el valor que se genera como diferencia en cambio por el incremento de la TRM sobre el saldo de la cuenta bancaria 3627554 del Citibank que se maneja en dólares americanos.</w:t>
      </w:r>
    </w:p>
    <w:p w14:paraId="22D9F7CB" w14:textId="77777777" w:rsidR="007C7EF4" w:rsidRPr="00CD459A" w:rsidRDefault="007C7EF4" w:rsidP="007C7EF4">
      <w:pPr>
        <w:suppressLineNumbers/>
        <w:tabs>
          <w:tab w:val="left" w:pos="-720"/>
        </w:tabs>
        <w:ind w:left="284" w:hanging="284"/>
        <w:jc w:val="both"/>
        <w:rPr>
          <w:rFonts w:ascii="Verdana" w:hAnsi="Verdana" w:cs="Arial"/>
        </w:rPr>
      </w:pPr>
    </w:p>
    <w:p w14:paraId="1F03F4C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2DC65E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que resulte de la diferencia entre el valor que resulte de multiplicar el saldo del extracto bancario de la cuenta 36277554 del Citibank por la TRM del último día hábil de cada mes, y el saldo contable de la cuenta bancaria 36277554 una vez registradas todas las operaciones del respectivo mes.</w:t>
      </w:r>
    </w:p>
    <w:p w14:paraId="0C3EEE92" w14:textId="77777777" w:rsidR="007C7EF4" w:rsidRPr="00CD459A" w:rsidRDefault="007C7EF4" w:rsidP="007C7EF4">
      <w:pPr>
        <w:suppressLineNumbers/>
        <w:tabs>
          <w:tab w:val="left" w:pos="-720"/>
        </w:tabs>
        <w:ind w:left="284" w:hanging="284"/>
        <w:jc w:val="both"/>
        <w:rPr>
          <w:rFonts w:ascii="Verdana" w:hAnsi="Verdana" w:cs="Arial"/>
        </w:rPr>
      </w:pPr>
    </w:p>
    <w:p w14:paraId="655316C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4463189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Extracto Bancario Citibank </w:t>
      </w:r>
    </w:p>
    <w:p w14:paraId="28B2F16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TRM </w:t>
      </w:r>
    </w:p>
    <w:p w14:paraId="73E4F8FA" w14:textId="77777777" w:rsidR="007C7EF4" w:rsidRPr="00CD459A" w:rsidRDefault="007C7EF4" w:rsidP="007C7EF4">
      <w:pPr>
        <w:suppressLineNumbers/>
        <w:tabs>
          <w:tab w:val="left" w:pos="-720"/>
        </w:tabs>
        <w:ind w:left="284" w:hanging="284"/>
        <w:jc w:val="both"/>
        <w:rPr>
          <w:rFonts w:ascii="Verdana" w:hAnsi="Verdana" w:cs="Arial"/>
        </w:rPr>
      </w:pPr>
    </w:p>
    <w:p w14:paraId="32307DD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CONCILACIÓN </w:t>
      </w:r>
    </w:p>
    <w:p w14:paraId="460F4D5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 la valorización neta, generada por la diferencia en cambio entre la TRM y pesos colombianos. </w:t>
      </w:r>
    </w:p>
    <w:p w14:paraId="5417CC10" w14:textId="77777777" w:rsidR="007C7EF4" w:rsidRPr="00CD459A" w:rsidRDefault="007C7EF4" w:rsidP="007C7EF4">
      <w:pPr>
        <w:suppressLineNumbers/>
        <w:tabs>
          <w:tab w:val="left" w:pos="-720"/>
        </w:tabs>
        <w:ind w:left="284" w:hanging="284"/>
        <w:jc w:val="both"/>
        <w:rPr>
          <w:rFonts w:ascii="Verdana" w:hAnsi="Verdana" w:cs="Arial"/>
        </w:rPr>
      </w:pPr>
    </w:p>
    <w:p w14:paraId="2FFC758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1420824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la diferencia en la TRM que justifica el valor del saldo.</w:t>
      </w:r>
    </w:p>
    <w:p w14:paraId="3E3293D2" w14:textId="77777777" w:rsidR="007C7EF4" w:rsidRPr="00CD459A" w:rsidRDefault="007C7EF4" w:rsidP="007C7EF4">
      <w:pPr>
        <w:suppressLineNumbers/>
        <w:tabs>
          <w:tab w:val="left" w:pos="-720"/>
        </w:tabs>
        <w:jc w:val="both"/>
        <w:rPr>
          <w:rFonts w:ascii="Verdana" w:hAnsi="Verdana" w:cs="Arial"/>
        </w:rPr>
      </w:pPr>
    </w:p>
    <w:p w14:paraId="355DA85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51015A1" w14:textId="77777777" w:rsidR="007C7EF4" w:rsidRPr="00CD459A" w:rsidRDefault="007C7EF4" w:rsidP="007C7EF4">
      <w:pPr>
        <w:suppressLineNumbers/>
        <w:tabs>
          <w:tab w:val="left" w:pos="-720"/>
        </w:tabs>
        <w:ind w:left="284" w:hanging="284"/>
        <w:jc w:val="both"/>
        <w:rPr>
          <w:rFonts w:ascii="Verdana" w:hAnsi="Verdana" w:cs="Arial"/>
        </w:rPr>
      </w:pPr>
    </w:p>
    <w:p w14:paraId="351A9D47"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673846FB" w14:textId="77777777" w:rsidR="007C7EF4" w:rsidRPr="00CD459A" w:rsidRDefault="007C7EF4" w:rsidP="00AB3D96">
      <w:pPr>
        <w:pStyle w:val="Prrafodelista"/>
        <w:widowControl w:val="0"/>
        <w:numPr>
          <w:ilvl w:val="0"/>
          <w:numId w:val="57"/>
        </w:numPr>
        <w:autoSpaceDE w:val="0"/>
        <w:autoSpaceDN w:val="0"/>
        <w:adjustRightInd w:val="0"/>
        <w:spacing w:line="240" w:lineRule="auto"/>
        <w:jc w:val="both"/>
        <w:rPr>
          <w:rFonts w:ascii="Verdana" w:hAnsi="Verdana" w:cs="Arial"/>
        </w:rPr>
      </w:pPr>
      <w:r w:rsidRPr="00CD459A">
        <w:rPr>
          <w:rFonts w:ascii="Verdana" w:hAnsi="Verdana" w:cs="Arial"/>
        </w:rPr>
        <w:t xml:space="preserve">El ajuste por la disminución en la TRM entre el último día hábil del mes inmediatamente anterior y la TRM del último día hábil del mes objeto de ajuste, hasta por el saldo que existe en esta subcuenta, con crédito a la subcuenta 114001 – Cuenta única Sistema General de Regalías. </w:t>
      </w:r>
    </w:p>
    <w:p w14:paraId="75080983" w14:textId="77777777" w:rsidR="007C7EF4" w:rsidRPr="00CD459A" w:rsidRDefault="007C7EF4" w:rsidP="00AB3D96">
      <w:pPr>
        <w:pStyle w:val="Prrafodelista"/>
        <w:widowControl w:val="0"/>
        <w:numPr>
          <w:ilvl w:val="0"/>
          <w:numId w:val="57"/>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311001 - Utilidad o excedente del ejercicio cuando los ingresos son superiores a los gastos del periodo, o a la subcuenta 311002 – Déficit del Ejercicio cuando los ingresos son inferiores a los gastos del periodo.</w:t>
      </w:r>
    </w:p>
    <w:p w14:paraId="5061C9DF" w14:textId="77777777" w:rsidR="007C7EF4" w:rsidRPr="00CD459A" w:rsidRDefault="007C7EF4" w:rsidP="007C7EF4">
      <w:pPr>
        <w:pStyle w:val="Prrafodelista"/>
        <w:widowControl w:val="0"/>
        <w:autoSpaceDE w:val="0"/>
        <w:autoSpaceDN w:val="0"/>
        <w:adjustRightInd w:val="0"/>
        <w:jc w:val="both"/>
        <w:rPr>
          <w:rFonts w:ascii="Verdana" w:hAnsi="Verdana" w:cs="Arial"/>
        </w:rPr>
      </w:pPr>
    </w:p>
    <w:p w14:paraId="528A3D69"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16EBD131" w14:textId="77777777" w:rsidR="007C7EF4" w:rsidRPr="00CD459A" w:rsidRDefault="007C7EF4" w:rsidP="00AB3D96">
      <w:pPr>
        <w:pStyle w:val="Prrafodelista"/>
        <w:widowControl w:val="0"/>
        <w:numPr>
          <w:ilvl w:val="0"/>
          <w:numId w:val="58"/>
        </w:numPr>
        <w:autoSpaceDE w:val="0"/>
        <w:autoSpaceDN w:val="0"/>
        <w:adjustRightInd w:val="0"/>
        <w:spacing w:line="240" w:lineRule="auto"/>
        <w:jc w:val="both"/>
        <w:rPr>
          <w:rFonts w:ascii="Verdana" w:hAnsi="Verdana" w:cs="Arial"/>
        </w:rPr>
      </w:pPr>
      <w:r w:rsidRPr="00CD459A">
        <w:rPr>
          <w:rFonts w:ascii="Verdana" w:hAnsi="Verdana" w:cs="Arial"/>
        </w:rPr>
        <w:t>El ajuste por el incremento en la TRM entre el último día hábil del mes inmediatamente anterior y la TRM del último día hábil del mes objeto de ajuste, previa disminución del gasto por el mismo concepto, si existiere; con debito a la subcuenta 114001 – Cuenta única Sistema General de Regalías.</w:t>
      </w:r>
    </w:p>
    <w:p w14:paraId="6FC4FB32" w14:textId="77777777" w:rsidR="007C7EF4" w:rsidRPr="00CD459A" w:rsidRDefault="007C7EF4" w:rsidP="007C7EF4">
      <w:pPr>
        <w:suppressLineNumbers/>
        <w:tabs>
          <w:tab w:val="left" w:pos="-720"/>
        </w:tabs>
        <w:ind w:left="284" w:hanging="284"/>
        <w:jc w:val="both"/>
        <w:rPr>
          <w:rFonts w:ascii="Verdana" w:hAnsi="Verdana" w:cs="Arial"/>
        </w:rPr>
      </w:pPr>
    </w:p>
    <w:tbl>
      <w:tblPr>
        <w:tblW w:w="8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03"/>
        <w:gridCol w:w="2252"/>
        <w:gridCol w:w="5209"/>
      </w:tblGrid>
      <w:tr w:rsidR="00CD459A" w:rsidRPr="00CD459A" w14:paraId="6531AAE3" w14:textId="77777777" w:rsidTr="003B74CE">
        <w:trPr>
          <w:trHeight w:val="452"/>
        </w:trPr>
        <w:tc>
          <w:tcPr>
            <w:tcW w:w="1403" w:type="dxa"/>
            <w:tcBorders>
              <w:top w:val="single" w:sz="4" w:space="0" w:color="auto"/>
              <w:left w:val="single" w:sz="4" w:space="0" w:color="auto"/>
              <w:bottom w:val="single" w:sz="4" w:space="0" w:color="auto"/>
              <w:right w:val="single" w:sz="4" w:space="0" w:color="auto"/>
            </w:tcBorders>
          </w:tcPr>
          <w:p w14:paraId="72E5A86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252" w:type="dxa"/>
            <w:tcBorders>
              <w:top w:val="single" w:sz="4" w:space="0" w:color="auto"/>
              <w:left w:val="single" w:sz="4" w:space="0" w:color="auto"/>
              <w:bottom w:val="single" w:sz="4" w:space="0" w:color="auto"/>
              <w:right w:val="single" w:sz="4" w:space="0" w:color="auto"/>
            </w:tcBorders>
          </w:tcPr>
          <w:p w14:paraId="6F7B096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209" w:type="dxa"/>
            <w:tcBorders>
              <w:top w:val="single" w:sz="4" w:space="0" w:color="auto"/>
              <w:left w:val="single" w:sz="4" w:space="0" w:color="auto"/>
              <w:bottom w:val="single" w:sz="4" w:space="0" w:color="auto"/>
              <w:right w:val="single" w:sz="4" w:space="0" w:color="auto"/>
            </w:tcBorders>
          </w:tcPr>
          <w:p w14:paraId="5E25A4D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5458AD9F" w14:textId="77777777" w:rsidTr="003B74CE">
        <w:trPr>
          <w:trHeight w:val="285"/>
        </w:trPr>
        <w:tc>
          <w:tcPr>
            <w:tcW w:w="1403" w:type="dxa"/>
          </w:tcPr>
          <w:p w14:paraId="3D75BE0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w:t>
            </w:r>
          </w:p>
        </w:tc>
        <w:tc>
          <w:tcPr>
            <w:tcW w:w="2252" w:type="dxa"/>
          </w:tcPr>
          <w:p w14:paraId="6908CEAA"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w:t>
            </w:r>
          </w:p>
        </w:tc>
        <w:tc>
          <w:tcPr>
            <w:tcW w:w="5209" w:type="dxa"/>
          </w:tcPr>
          <w:p w14:paraId="11ED36B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480651</w:t>
            </w:r>
          </w:p>
        </w:tc>
      </w:tr>
      <w:tr w:rsidR="00CD459A" w:rsidRPr="00CD459A" w14:paraId="3D5D9047" w14:textId="77777777" w:rsidTr="003B74CE">
        <w:trPr>
          <w:trHeight w:val="390"/>
        </w:trPr>
        <w:tc>
          <w:tcPr>
            <w:tcW w:w="1403" w:type="dxa"/>
          </w:tcPr>
          <w:p w14:paraId="69098DD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INGRESOS</w:t>
            </w:r>
          </w:p>
        </w:tc>
        <w:tc>
          <w:tcPr>
            <w:tcW w:w="2252" w:type="dxa"/>
          </w:tcPr>
          <w:p w14:paraId="2E94671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OTROS INGRESOS</w:t>
            </w:r>
          </w:p>
        </w:tc>
        <w:tc>
          <w:tcPr>
            <w:tcW w:w="5209" w:type="dxa"/>
          </w:tcPr>
          <w:p w14:paraId="0E430D3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FIDUCIA MERCANTIL - PATRIMONIO AUTÓNOMO</w:t>
            </w:r>
          </w:p>
        </w:tc>
      </w:tr>
    </w:tbl>
    <w:p w14:paraId="4974C337" w14:textId="77777777" w:rsidR="007C7EF4" w:rsidRPr="00CD459A" w:rsidRDefault="007C7EF4" w:rsidP="007C7EF4">
      <w:pPr>
        <w:suppressLineNumbers/>
        <w:tabs>
          <w:tab w:val="left" w:pos="-720"/>
        </w:tabs>
        <w:ind w:left="284" w:hanging="284"/>
        <w:jc w:val="both"/>
        <w:rPr>
          <w:rFonts w:ascii="Verdana" w:hAnsi="Verdana" w:cs="Arial"/>
        </w:rPr>
      </w:pPr>
    </w:p>
    <w:p w14:paraId="73FD1C44" w14:textId="6255C8F1"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DESCRIPCIÓN</w:t>
      </w:r>
    </w:p>
    <w:p w14:paraId="5032439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registra el valor que se genera como diferencia en cambio por el incremento de la TRM sobre el saldo del Fondo de Ahorro y Estabilización – FAE en dólares americanos que es administrado por el Banco de la República.</w:t>
      </w:r>
    </w:p>
    <w:p w14:paraId="33576DBE" w14:textId="77777777" w:rsidR="007C7EF4" w:rsidRPr="00CD459A" w:rsidRDefault="007C7EF4" w:rsidP="007C7EF4">
      <w:pPr>
        <w:suppressLineNumbers/>
        <w:tabs>
          <w:tab w:val="left" w:pos="-720"/>
        </w:tabs>
        <w:ind w:left="284" w:hanging="284"/>
        <w:jc w:val="both"/>
        <w:rPr>
          <w:rFonts w:ascii="Verdana" w:hAnsi="Verdana" w:cs="Arial"/>
        </w:rPr>
      </w:pPr>
    </w:p>
    <w:p w14:paraId="3C19D7D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0C3759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la diferencia entre el valor que resulte de multiplicar el saldo del Fondo de Ahorro y Estabilización – FAE por la TRM del último día hábil de cada mes y el saldo contable de la cuenta de recursos entregados en administración al Banco de la República una vez registradas todas las operaciones del respectivo mes.</w:t>
      </w:r>
    </w:p>
    <w:p w14:paraId="1582D8C8" w14:textId="77777777" w:rsidR="007C7EF4" w:rsidRPr="00CD459A" w:rsidRDefault="007C7EF4" w:rsidP="007C7EF4">
      <w:pPr>
        <w:suppressLineNumbers/>
        <w:tabs>
          <w:tab w:val="left" w:pos="-720"/>
        </w:tabs>
        <w:ind w:left="284" w:hanging="284"/>
        <w:jc w:val="both"/>
        <w:rPr>
          <w:rFonts w:ascii="Verdana" w:hAnsi="Verdana" w:cs="Arial"/>
        </w:rPr>
      </w:pPr>
    </w:p>
    <w:p w14:paraId="57C329A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4F71A17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Reporte Evolución de los Ahorros por participes </w:t>
      </w:r>
    </w:p>
    <w:p w14:paraId="554CAF5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TRM </w:t>
      </w:r>
    </w:p>
    <w:p w14:paraId="79EF9DA1" w14:textId="77777777" w:rsidR="007C7EF4" w:rsidRPr="00CD459A" w:rsidRDefault="007C7EF4" w:rsidP="007C7EF4">
      <w:pPr>
        <w:suppressLineNumbers/>
        <w:tabs>
          <w:tab w:val="left" w:pos="-720"/>
        </w:tabs>
        <w:ind w:left="284" w:hanging="284"/>
        <w:jc w:val="both"/>
        <w:rPr>
          <w:rFonts w:ascii="Verdana" w:hAnsi="Verdana" w:cs="Arial"/>
        </w:rPr>
      </w:pPr>
    </w:p>
    <w:p w14:paraId="787F217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CONCILACIÓN </w:t>
      </w:r>
    </w:p>
    <w:p w14:paraId="014455D3"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 la valorización neta, del saldo reflejado en el Reporte Evolución de los Ahorros por participes, generada por la diferencia en cambio entre la TRM y pesos colombianos.</w:t>
      </w:r>
    </w:p>
    <w:p w14:paraId="359D2784" w14:textId="77777777" w:rsidR="007C7EF4" w:rsidRPr="00CD459A" w:rsidRDefault="007C7EF4" w:rsidP="007C7EF4">
      <w:pPr>
        <w:suppressLineNumbers/>
        <w:tabs>
          <w:tab w:val="left" w:pos="-720"/>
        </w:tabs>
        <w:ind w:left="284" w:hanging="284"/>
        <w:jc w:val="both"/>
        <w:rPr>
          <w:rFonts w:ascii="Verdana" w:hAnsi="Verdana" w:cs="Arial"/>
        </w:rPr>
      </w:pPr>
    </w:p>
    <w:p w14:paraId="6901BEB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64E7400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revelan los siguientes datos de cada mes del respectivo ejercicio contables; Saldo final en dólares americanos, TRM del último día hábil y las valorización o desvalorización. La sumatoria de las valorizaciones y desvalorizaciones soportan el saldo de esta subcuenta.</w:t>
      </w:r>
    </w:p>
    <w:p w14:paraId="169036B9" w14:textId="77777777" w:rsidR="007C7EF4" w:rsidRPr="00CD459A" w:rsidRDefault="007C7EF4" w:rsidP="007C7EF4">
      <w:pPr>
        <w:suppressLineNumbers/>
        <w:tabs>
          <w:tab w:val="left" w:pos="-720"/>
        </w:tabs>
        <w:jc w:val="both"/>
        <w:rPr>
          <w:rFonts w:ascii="Verdana" w:hAnsi="Verdana" w:cs="Arial"/>
        </w:rPr>
      </w:pPr>
    </w:p>
    <w:p w14:paraId="35900A1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71DFAE47" w14:textId="77777777" w:rsidR="007C7EF4" w:rsidRPr="00CD459A" w:rsidRDefault="007C7EF4" w:rsidP="007C7EF4">
      <w:pPr>
        <w:suppressLineNumbers/>
        <w:tabs>
          <w:tab w:val="left" w:pos="-720"/>
        </w:tabs>
        <w:ind w:left="284" w:hanging="284"/>
        <w:jc w:val="both"/>
        <w:rPr>
          <w:rFonts w:ascii="Verdana" w:hAnsi="Verdana" w:cs="Arial"/>
        </w:rPr>
      </w:pPr>
    </w:p>
    <w:p w14:paraId="5230A778" w14:textId="29635237" w:rsidR="007C7EF4" w:rsidRPr="00CD459A" w:rsidRDefault="007C7EF4" w:rsidP="00DA3A85">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2F95957D" w14:textId="77777777" w:rsidR="007C7EF4" w:rsidRPr="00CD459A" w:rsidRDefault="007C7EF4" w:rsidP="00AB3D96">
      <w:pPr>
        <w:pStyle w:val="Prrafodelista"/>
        <w:widowControl w:val="0"/>
        <w:numPr>
          <w:ilvl w:val="0"/>
          <w:numId w:val="59"/>
        </w:numPr>
        <w:autoSpaceDE w:val="0"/>
        <w:autoSpaceDN w:val="0"/>
        <w:adjustRightInd w:val="0"/>
        <w:spacing w:line="240" w:lineRule="auto"/>
        <w:jc w:val="both"/>
        <w:rPr>
          <w:rFonts w:ascii="Verdana" w:hAnsi="Verdana" w:cs="Arial"/>
        </w:rPr>
      </w:pPr>
      <w:r w:rsidRPr="00CD459A">
        <w:rPr>
          <w:rFonts w:ascii="Verdana" w:hAnsi="Verdana" w:cs="Arial"/>
        </w:rPr>
        <w:t>El ajuste por la disminución en la TRM entre el último día hábil del mes inmediatamente anterior y la TRM del último día hábil del mes objeto de ajuste, sobre el saldo del Fondo de Ahorro y Estabilización – FAE, hasta por el saldo que existe en esta subcuenta, con crédito a la subcuenta 190801 – Recursos entregados en Administración.</w:t>
      </w:r>
    </w:p>
    <w:p w14:paraId="1894AFA9" w14:textId="77777777" w:rsidR="007C7EF4" w:rsidRDefault="007C7EF4" w:rsidP="00AB3D96">
      <w:pPr>
        <w:pStyle w:val="Prrafodelista"/>
        <w:widowControl w:val="0"/>
        <w:numPr>
          <w:ilvl w:val="0"/>
          <w:numId w:val="59"/>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311001 - Utilidad o excedente del ejercicio cuando los ingresos son superiores a los gastos del periodo, o a la subcuenta 311002 – Déficit del Ejercicio cuando los ingresos son inferiores a los gastos del periodo.</w:t>
      </w:r>
    </w:p>
    <w:p w14:paraId="01A81457" w14:textId="77777777" w:rsidR="00DA3A85" w:rsidRPr="00CD459A" w:rsidRDefault="00DA3A85" w:rsidP="00DA3A85">
      <w:pPr>
        <w:pStyle w:val="Prrafodelista"/>
        <w:widowControl w:val="0"/>
        <w:autoSpaceDE w:val="0"/>
        <w:autoSpaceDN w:val="0"/>
        <w:adjustRightInd w:val="0"/>
        <w:spacing w:line="240" w:lineRule="auto"/>
        <w:jc w:val="both"/>
        <w:rPr>
          <w:rFonts w:ascii="Verdana" w:hAnsi="Verdana" w:cs="Arial"/>
        </w:rPr>
      </w:pPr>
    </w:p>
    <w:p w14:paraId="1B23924E"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13FB3902" w14:textId="77777777" w:rsidR="007C7EF4" w:rsidRPr="00CD459A" w:rsidRDefault="007C7EF4" w:rsidP="00AB3D96">
      <w:pPr>
        <w:pStyle w:val="Prrafodelista"/>
        <w:widowControl w:val="0"/>
        <w:numPr>
          <w:ilvl w:val="0"/>
          <w:numId w:val="60"/>
        </w:numPr>
        <w:autoSpaceDE w:val="0"/>
        <w:autoSpaceDN w:val="0"/>
        <w:adjustRightInd w:val="0"/>
        <w:spacing w:line="240" w:lineRule="auto"/>
        <w:jc w:val="both"/>
        <w:rPr>
          <w:rFonts w:ascii="Verdana" w:hAnsi="Verdana" w:cs="Arial"/>
        </w:rPr>
      </w:pPr>
      <w:r w:rsidRPr="00CD459A">
        <w:rPr>
          <w:rFonts w:ascii="Verdana" w:hAnsi="Verdana" w:cs="Arial"/>
        </w:rPr>
        <w:t>El ajuste por el incremento en la TRM entre el último día hábil del mes inmediatamente anterior y la TRM del último día hábil del mes objeto de ajuste, sobre el saldo del Fondo de Ahorro y Estabilización – FAE, previa disminución del gasto por el mismo concepto, si existiere; con debito a la subcuenta 190801 – Recursos entregados en Administración.</w:t>
      </w:r>
    </w:p>
    <w:p w14:paraId="27C6D07A" w14:textId="77777777" w:rsidR="007C7EF4" w:rsidRPr="00CD459A" w:rsidRDefault="007C7EF4" w:rsidP="007C7EF4">
      <w:pPr>
        <w:pStyle w:val="Prrafodelista"/>
        <w:widowControl w:val="0"/>
        <w:autoSpaceDE w:val="0"/>
        <w:autoSpaceDN w:val="0"/>
        <w:adjustRightInd w:val="0"/>
        <w:ind w:left="901"/>
        <w:jc w:val="both"/>
        <w:rPr>
          <w:rFonts w:ascii="Verdana" w:hAnsi="Verdana" w:cs="Arial"/>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7"/>
        <w:gridCol w:w="2147"/>
        <w:gridCol w:w="4829"/>
      </w:tblGrid>
      <w:tr w:rsidR="00CD459A" w:rsidRPr="00CD459A" w14:paraId="19A86478" w14:textId="77777777" w:rsidTr="003B74CE">
        <w:trPr>
          <w:trHeight w:val="387"/>
        </w:trPr>
        <w:tc>
          <w:tcPr>
            <w:tcW w:w="2007" w:type="dxa"/>
          </w:tcPr>
          <w:p w14:paraId="1138AE7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147" w:type="dxa"/>
          </w:tcPr>
          <w:p w14:paraId="468AC6E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829" w:type="dxa"/>
          </w:tcPr>
          <w:p w14:paraId="54FD6F6C"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0A143869" w14:textId="77777777" w:rsidTr="003B74CE">
        <w:trPr>
          <w:trHeight w:val="365"/>
        </w:trPr>
        <w:tc>
          <w:tcPr>
            <w:tcW w:w="2007" w:type="dxa"/>
          </w:tcPr>
          <w:p w14:paraId="6C23081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2147" w:type="dxa"/>
          </w:tcPr>
          <w:p w14:paraId="16FA328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48</w:t>
            </w:r>
          </w:p>
        </w:tc>
        <w:tc>
          <w:tcPr>
            <w:tcW w:w="4829" w:type="dxa"/>
          </w:tcPr>
          <w:p w14:paraId="1771F6C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480807</w:t>
            </w:r>
          </w:p>
        </w:tc>
      </w:tr>
      <w:tr w:rsidR="00CD459A" w:rsidRPr="00CD459A" w14:paraId="5F4280A3" w14:textId="77777777" w:rsidTr="003B74CE">
        <w:trPr>
          <w:trHeight w:val="753"/>
        </w:trPr>
        <w:tc>
          <w:tcPr>
            <w:tcW w:w="2007" w:type="dxa"/>
          </w:tcPr>
          <w:p w14:paraId="44C4D60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147" w:type="dxa"/>
          </w:tcPr>
          <w:p w14:paraId="4E52D79A"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INGRESOS</w:t>
            </w:r>
          </w:p>
        </w:tc>
        <w:tc>
          <w:tcPr>
            <w:tcW w:w="4829" w:type="dxa"/>
          </w:tcPr>
          <w:p w14:paraId="5B2616B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 xml:space="preserve">MARGEN EN LA COMERCIALIZACION DE BIENES Y SERVICIOS </w:t>
            </w:r>
          </w:p>
        </w:tc>
      </w:tr>
    </w:tbl>
    <w:p w14:paraId="154DC75B" w14:textId="77777777" w:rsidR="007C7EF4" w:rsidRPr="00CD459A" w:rsidRDefault="007C7EF4" w:rsidP="007C7EF4">
      <w:pPr>
        <w:suppressLineNumbers/>
        <w:tabs>
          <w:tab w:val="left" w:pos="-720"/>
        </w:tabs>
        <w:ind w:left="284" w:hanging="284"/>
        <w:jc w:val="both"/>
        <w:rPr>
          <w:rFonts w:ascii="Verdana" w:hAnsi="Verdana" w:cs="Arial"/>
        </w:rPr>
      </w:pPr>
    </w:p>
    <w:p w14:paraId="7E66D46D" w14:textId="3FF44828"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49F04FA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la diferencia entre el precio base de liquidación de la Regalias y el precio de la comercialización.</w:t>
      </w:r>
    </w:p>
    <w:p w14:paraId="232DD09B" w14:textId="77777777" w:rsidR="007C7EF4" w:rsidRPr="00CD459A" w:rsidRDefault="007C7EF4" w:rsidP="007C7EF4">
      <w:pPr>
        <w:suppressLineNumbers/>
        <w:tabs>
          <w:tab w:val="left" w:pos="-720"/>
        </w:tabs>
        <w:ind w:left="284" w:hanging="284"/>
        <w:jc w:val="both"/>
        <w:rPr>
          <w:rFonts w:ascii="Verdana" w:hAnsi="Verdana" w:cs="Arial"/>
        </w:rPr>
      </w:pPr>
    </w:p>
    <w:p w14:paraId="2FA8909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0AFD874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Certificación Agencia Nacional de Hidrocarburos </w:t>
      </w:r>
    </w:p>
    <w:p w14:paraId="3B3A5B6C" w14:textId="77777777" w:rsidR="007C7EF4" w:rsidRPr="00CD459A" w:rsidRDefault="007C7EF4" w:rsidP="007C7EF4">
      <w:pPr>
        <w:suppressLineNumbers/>
        <w:tabs>
          <w:tab w:val="left" w:pos="-720"/>
        </w:tabs>
        <w:ind w:left="284" w:hanging="284"/>
        <w:jc w:val="both"/>
        <w:rPr>
          <w:rFonts w:ascii="Verdana" w:hAnsi="Verdana" w:cs="Arial"/>
        </w:rPr>
      </w:pPr>
    </w:p>
    <w:p w14:paraId="48D2086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6C4007A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con el valor certificado por la Agencia por concepto de margen de comercialización. </w:t>
      </w:r>
    </w:p>
    <w:p w14:paraId="6F721197" w14:textId="77777777" w:rsidR="007C7EF4" w:rsidRPr="00CD459A" w:rsidRDefault="007C7EF4" w:rsidP="007C7EF4">
      <w:pPr>
        <w:suppressLineNumbers/>
        <w:tabs>
          <w:tab w:val="left" w:pos="-720"/>
        </w:tabs>
        <w:ind w:left="284" w:hanging="284"/>
        <w:jc w:val="both"/>
        <w:rPr>
          <w:rFonts w:ascii="Verdana" w:hAnsi="Verdana" w:cs="Arial"/>
        </w:rPr>
      </w:pPr>
    </w:p>
    <w:p w14:paraId="0619C72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141E3B9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certificado por la Agencia Nacional de Hidrocarburos.</w:t>
      </w:r>
    </w:p>
    <w:p w14:paraId="66E09121" w14:textId="77777777" w:rsidR="007C7EF4" w:rsidRPr="00CD459A" w:rsidRDefault="007C7EF4" w:rsidP="007C7EF4">
      <w:pPr>
        <w:suppressLineNumbers/>
        <w:tabs>
          <w:tab w:val="left" w:pos="-720"/>
        </w:tabs>
        <w:ind w:left="284" w:hanging="284"/>
        <w:jc w:val="both"/>
        <w:rPr>
          <w:rFonts w:ascii="Verdana" w:hAnsi="Verdana" w:cs="Arial"/>
        </w:rPr>
      </w:pPr>
    </w:p>
    <w:p w14:paraId="502C7C3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A808C68" w14:textId="77777777" w:rsidR="007C7EF4"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concepto de margen de comercialización.</w:t>
      </w:r>
    </w:p>
    <w:p w14:paraId="25D42A2A" w14:textId="77777777" w:rsidR="00DA3A85" w:rsidRPr="00CD459A" w:rsidRDefault="00DA3A85" w:rsidP="007C7EF4">
      <w:pPr>
        <w:suppressLineNumbers/>
        <w:tabs>
          <w:tab w:val="left" w:pos="-720"/>
        </w:tabs>
        <w:jc w:val="both"/>
        <w:rPr>
          <w:rFonts w:ascii="Verdana" w:hAnsi="Verdana" w:cs="Arial"/>
        </w:rPr>
      </w:pPr>
    </w:p>
    <w:p w14:paraId="409750D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08061B62" w14:textId="77777777" w:rsidR="007C7EF4" w:rsidRPr="00CD459A" w:rsidRDefault="007C7EF4" w:rsidP="007C7EF4">
      <w:pPr>
        <w:suppressLineNumbers/>
        <w:tabs>
          <w:tab w:val="left" w:pos="-720"/>
        </w:tabs>
        <w:ind w:left="284" w:hanging="284"/>
        <w:jc w:val="both"/>
        <w:rPr>
          <w:rFonts w:ascii="Verdana" w:hAnsi="Verdana" w:cs="Arial"/>
        </w:rPr>
      </w:pPr>
    </w:p>
    <w:p w14:paraId="7B20DBE5" w14:textId="31B8F461" w:rsidR="007C7EF4" w:rsidRPr="00CD459A" w:rsidRDefault="007C7EF4" w:rsidP="00DA3A85">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36A0E87D" w14:textId="77777777" w:rsidR="007C7EF4" w:rsidRPr="00CD459A" w:rsidRDefault="007C7EF4" w:rsidP="00AB3D96">
      <w:pPr>
        <w:pStyle w:val="Prrafodelista"/>
        <w:widowControl w:val="0"/>
        <w:numPr>
          <w:ilvl w:val="0"/>
          <w:numId w:val="64"/>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590501- Cierre de ingresos gastos y costos.</w:t>
      </w:r>
    </w:p>
    <w:p w14:paraId="5603C678" w14:textId="77777777" w:rsidR="007C7EF4" w:rsidRPr="00CD459A" w:rsidRDefault="007C7EF4" w:rsidP="007C7EF4">
      <w:pPr>
        <w:pStyle w:val="Prrafodelista"/>
        <w:widowControl w:val="0"/>
        <w:autoSpaceDE w:val="0"/>
        <w:autoSpaceDN w:val="0"/>
        <w:adjustRightInd w:val="0"/>
        <w:ind w:left="426"/>
        <w:jc w:val="both"/>
        <w:rPr>
          <w:rFonts w:ascii="Verdana" w:hAnsi="Verdana" w:cs="Arial"/>
        </w:rPr>
      </w:pPr>
    </w:p>
    <w:p w14:paraId="69E1D93C"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7A3B5035" w14:textId="77777777" w:rsidR="007C7EF4" w:rsidRPr="00CD459A" w:rsidRDefault="007C7EF4" w:rsidP="00AB3D96">
      <w:pPr>
        <w:pStyle w:val="Prrafodelista"/>
        <w:numPr>
          <w:ilvl w:val="0"/>
          <w:numId w:val="64"/>
        </w:numPr>
        <w:suppressLineNumbers/>
        <w:tabs>
          <w:tab w:val="left" w:pos="-720"/>
        </w:tabs>
        <w:spacing w:line="240" w:lineRule="auto"/>
        <w:jc w:val="both"/>
        <w:rPr>
          <w:rFonts w:ascii="Verdana" w:hAnsi="Verdana" w:cs="Arial"/>
        </w:rPr>
      </w:pPr>
      <w:r w:rsidRPr="00CD459A">
        <w:rPr>
          <w:rFonts w:ascii="Verdana" w:hAnsi="Verdana" w:cs="Arial"/>
        </w:rPr>
        <w:t>El valor de la diferencia entre el precio base de liquidación de la Regalias y el precio de la comercialización.</w:t>
      </w:r>
    </w:p>
    <w:p w14:paraId="5080EFC6" w14:textId="77777777" w:rsidR="007C7EF4" w:rsidRPr="00CD459A" w:rsidRDefault="007C7EF4" w:rsidP="007C7EF4">
      <w:pPr>
        <w:pStyle w:val="Prrafodelista"/>
        <w:suppressLineNumbers/>
        <w:tabs>
          <w:tab w:val="left" w:pos="-720"/>
        </w:tabs>
        <w:jc w:val="both"/>
        <w:rPr>
          <w:rFonts w:ascii="Verdana" w:hAnsi="Verdana" w:cs="Arial"/>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7"/>
        <w:gridCol w:w="2147"/>
        <w:gridCol w:w="4829"/>
      </w:tblGrid>
      <w:tr w:rsidR="00CD459A" w:rsidRPr="00CD459A" w14:paraId="09681728" w14:textId="77777777" w:rsidTr="003B74CE">
        <w:trPr>
          <w:trHeight w:val="387"/>
        </w:trPr>
        <w:tc>
          <w:tcPr>
            <w:tcW w:w="2007" w:type="dxa"/>
          </w:tcPr>
          <w:p w14:paraId="7D7B55C5"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147" w:type="dxa"/>
          </w:tcPr>
          <w:p w14:paraId="7F96546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829" w:type="dxa"/>
          </w:tcPr>
          <w:p w14:paraId="4531251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01F078B3" w14:textId="77777777" w:rsidTr="003B74CE">
        <w:trPr>
          <w:trHeight w:val="365"/>
        </w:trPr>
        <w:tc>
          <w:tcPr>
            <w:tcW w:w="2007" w:type="dxa"/>
          </w:tcPr>
          <w:p w14:paraId="794D176B"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w:t>
            </w:r>
          </w:p>
        </w:tc>
        <w:tc>
          <w:tcPr>
            <w:tcW w:w="2147" w:type="dxa"/>
          </w:tcPr>
          <w:p w14:paraId="1D88656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48</w:t>
            </w:r>
          </w:p>
        </w:tc>
        <w:tc>
          <w:tcPr>
            <w:tcW w:w="4829" w:type="dxa"/>
          </w:tcPr>
          <w:p w14:paraId="14A7BC5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480851</w:t>
            </w:r>
          </w:p>
        </w:tc>
      </w:tr>
      <w:tr w:rsidR="00CD459A" w:rsidRPr="00CD459A" w14:paraId="74A142B0" w14:textId="77777777" w:rsidTr="003B74CE">
        <w:trPr>
          <w:trHeight w:val="753"/>
        </w:trPr>
        <w:tc>
          <w:tcPr>
            <w:tcW w:w="2007" w:type="dxa"/>
          </w:tcPr>
          <w:p w14:paraId="0153158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147" w:type="dxa"/>
          </w:tcPr>
          <w:p w14:paraId="6B6D1C0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INGRESOS</w:t>
            </w:r>
          </w:p>
        </w:tc>
        <w:tc>
          <w:tcPr>
            <w:tcW w:w="4829" w:type="dxa"/>
          </w:tcPr>
          <w:p w14:paraId="53DA314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 xml:space="preserve">FIDUCIA MERCANTIL - PATRIMONIO AUTÓNOMO - VALORIZACIÓN </w:t>
            </w:r>
          </w:p>
        </w:tc>
      </w:tr>
    </w:tbl>
    <w:p w14:paraId="6988483B" w14:textId="77777777" w:rsidR="007C7EF4" w:rsidRPr="00CD459A" w:rsidRDefault="007C7EF4" w:rsidP="007C7EF4">
      <w:pPr>
        <w:suppressLineNumbers/>
        <w:tabs>
          <w:tab w:val="left" w:pos="-720"/>
        </w:tabs>
        <w:ind w:left="284" w:hanging="284"/>
        <w:jc w:val="both"/>
        <w:rPr>
          <w:rFonts w:ascii="Verdana" w:hAnsi="Verdana" w:cs="Arial"/>
        </w:rPr>
      </w:pPr>
    </w:p>
    <w:p w14:paraId="2C47E7A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53B03DD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las utilidades generadas por el Fondo de Ahorro y Estabilización – FAE reportadas por el Banco de la República, entidad encargada de administrar el fideicomiso.</w:t>
      </w:r>
    </w:p>
    <w:p w14:paraId="2B4150E6" w14:textId="77777777" w:rsidR="007C7EF4" w:rsidRPr="00CD459A" w:rsidRDefault="007C7EF4" w:rsidP="007C7EF4">
      <w:pPr>
        <w:suppressLineNumbers/>
        <w:tabs>
          <w:tab w:val="left" w:pos="-720"/>
        </w:tabs>
        <w:ind w:left="284" w:hanging="284"/>
        <w:jc w:val="both"/>
        <w:rPr>
          <w:rFonts w:ascii="Verdana" w:hAnsi="Verdana" w:cs="Arial"/>
        </w:rPr>
      </w:pPr>
    </w:p>
    <w:p w14:paraId="03C961B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584E3DB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que resulte de multiplicar el valor de pérdidas reportado mensualmente por el Banco de la República por la TRM del último día hábil del mes objeto de reporte.</w:t>
      </w:r>
    </w:p>
    <w:p w14:paraId="4CA34B62" w14:textId="77777777" w:rsidR="007C7EF4" w:rsidRPr="00CD459A" w:rsidRDefault="007C7EF4" w:rsidP="007C7EF4">
      <w:pPr>
        <w:suppressLineNumbers/>
        <w:tabs>
          <w:tab w:val="left" w:pos="-720"/>
        </w:tabs>
        <w:ind w:left="284" w:hanging="284"/>
        <w:jc w:val="both"/>
        <w:rPr>
          <w:rFonts w:ascii="Verdana" w:hAnsi="Verdana" w:cs="Arial"/>
        </w:rPr>
      </w:pPr>
    </w:p>
    <w:p w14:paraId="2F8FD2A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3B905723" w14:textId="77777777" w:rsidR="007C7EF4" w:rsidRPr="00CD459A" w:rsidRDefault="007C7EF4" w:rsidP="007C7EF4">
      <w:pPr>
        <w:suppressLineNumbers/>
        <w:tabs>
          <w:tab w:val="left" w:pos="-720"/>
        </w:tabs>
        <w:ind w:left="284" w:hanging="284"/>
        <w:jc w:val="both"/>
        <w:rPr>
          <w:rFonts w:ascii="Verdana" w:hAnsi="Verdana" w:cs="Arial"/>
        </w:rPr>
      </w:pPr>
    </w:p>
    <w:p w14:paraId="2B6B9BB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Reporte de Evolución de Ahorros por participe descargado de la plataforma del Banco de la Republica.</w:t>
      </w:r>
    </w:p>
    <w:p w14:paraId="5A42096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TRM</w:t>
      </w:r>
    </w:p>
    <w:p w14:paraId="326ED423" w14:textId="77777777" w:rsidR="007C7EF4" w:rsidRPr="00CD459A" w:rsidRDefault="007C7EF4" w:rsidP="007C7EF4">
      <w:pPr>
        <w:suppressLineNumbers/>
        <w:tabs>
          <w:tab w:val="left" w:pos="-720"/>
        </w:tabs>
        <w:ind w:left="284" w:hanging="284"/>
        <w:jc w:val="both"/>
        <w:rPr>
          <w:rFonts w:ascii="Verdana" w:hAnsi="Verdana" w:cs="Arial"/>
        </w:rPr>
      </w:pPr>
    </w:p>
    <w:p w14:paraId="60CD0CE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516A5B3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de la cuenta, frente a la utilidad total en el periodo del reporte descargado de la plataforma del Banco de la República, Evolución de Ahorros por participe, expresado en pesos colombianos a la TRM del último día del periodo determinado.  </w:t>
      </w:r>
    </w:p>
    <w:p w14:paraId="783A3FFE" w14:textId="77777777" w:rsidR="007C7EF4" w:rsidRPr="00CD459A" w:rsidRDefault="007C7EF4" w:rsidP="007C7EF4">
      <w:pPr>
        <w:suppressLineNumbers/>
        <w:tabs>
          <w:tab w:val="left" w:pos="-720"/>
        </w:tabs>
        <w:ind w:left="284" w:hanging="284"/>
        <w:jc w:val="both"/>
        <w:rPr>
          <w:rFonts w:ascii="Verdana" w:hAnsi="Verdana" w:cs="Arial"/>
        </w:rPr>
      </w:pPr>
    </w:p>
    <w:p w14:paraId="6DB5EC8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8E911A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de la utilidad o pérdida de cada mes del año fiscal en dólares americanos, la TRM del último día hábil y el valor equivalente en pesos.</w:t>
      </w:r>
    </w:p>
    <w:p w14:paraId="3056DDDB" w14:textId="77777777" w:rsidR="007C7EF4" w:rsidRPr="00CD459A" w:rsidRDefault="007C7EF4" w:rsidP="007C7EF4">
      <w:pPr>
        <w:suppressLineNumbers/>
        <w:tabs>
          <w:tab w:val="left" w:pos="-720"/>
        </w:tabs>
        <w:jc w:val="both"/>
        <w:rPr>
          <w:rFonts w:ascii="Verdana" w:hAnsi="Verdana" w:cs="Arial"/>
        </w:rPr>
      </w:pPr>
    </w:p>
    <w:p w14:paraId="0F89D82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36360F7C" w14:textId="77777777" w:rsidR="007C7EF4" w:rsidRPr="00CD459A" w:rsidRDefault="007C7EF4" w:rsidP="007C7EF4">
      <w:pPr>
        <w:suppressLineNumbers/>
        <w:tabs>
          <w:tab w:val="left" w:pos="-720"/>
        </w:tabs>
        <w:ind w:left="284" w:hanging="284"/>
        <w:jc w:val="both"/>
        <w:rPr>
          <w:rFonts w:ascii="Verdana" w:hAnsi="Verdana" w:cs="Arial"/>
        </w:rPr>
      </w:pPr>
    </w:p>
    <w:p w14:paraId="52FCCE2E"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477E9526" w14:textId="77777777" w:rsidR="007C7EF4" w:rsidRPr="00CD459A" w:rsidRDefault="007C7EF4" w:rsidP="007C7EF4">
      <w:pPr>
        <w:pStyle w:val="Prrafodelista"/>
        <w:widowControl w:val="0"/>
        <w:autoSpaceDE w:val="0"/>
        <w:autoSpaceDN w:val="0"/>
        <w:adjustRightInd w:val="0"/>
        <w:ind w:left="426"/>
        <w:jc w:val="both"/>
        <w:rPr>
          <w:rFonts w:ascii="Verdana" w:hAnsi="Verdana" w:cs="Arial"/>
        </w:rPr>
      </w:pPr>
    </w:p>
    <w:p w14:paraId="5E2CB5DC" w14:textId="77777777" w:rsidR="007C7EF4" w:rsidRPr="00CD459A" w:rsidRDefault="007C7EF4" w:rsidP="00AB3D96">
      <w:pPr>
        <w:pStyle w:val="Prrafodelista"/>
        <w:widowControl w:val="0"/>
        <w:numPr>
          <w:ilvl w:val="0"/>
          <w:numId w:val="75"/>
        </w:numPr>
        <w:autoSpaceDE w:val="0"/>
        <w:autoSpaceDN w:val="0"/>
        <w:adjustRightInd w:val="0"/>
        <w:spacing w:line="240" w:lineRule="auto"/>
        <w:jc w:val="both"/>
        <w:rPr>
          <w:rFonts w:ascii="Verdana" w:hAnsi="Verdana" w:cs="Arial"/>
        </w:rPr>
      </w:pPr>
      <w:r w:rsidRPr="00CD459A">
        <w:rPr>
          <w:rFonts w:ascii="Verdana" w:hAnsi="Verdana" w:cs="Arial"/>
        </w:rPr>
        <w:t>La pérdida del Fondo de Ahorro y estabilización – FAE equivalente en pesos, hasta por el saldo que existe en esta subcuenta, con crédito a la subcuenta 190801 – Recursos entregados en Administración.</w:t>
      </w:r>
    </w:p>
    <w:p w14:paraId="744997B4" w14:textId="77777777" w:rsidR="007C7EF4" w:rsidRPr="00CD459A" w:rsidRDefault="007C7EF4" w:rsidP="00AB3D96">
      <w:pPr>
        <w:pStyle w:val="Prrafodelista"/>
        <w:widowControl w:val="0"/>
        <w:numPr>
          <w:ilvl w:val="0"/>
          <w:numId w:val="75"/>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311001 - Utilidad o excedente del ejercicio cuando los ingresos son superiores a los gastos del periodo, o a la subcuenta 311002 – Déficit del Ejercicio cuando los ingresos son inferiores a los gastos del periodo.</w:t>
      </w:r>
    </w:p>
    <w:p w14:paraId="464DCBFA" w14:textId="77777777" w:rsidR="007C7EF4" w:rsidRPr="00CD459A" w:rsidRDefault="007C7EF4" w:rsidP="007C7EF4">
      <w:pPr>
        <w:pStyle w:val="Prrafodelista"/>
        <w:widowControl w:val="0"/>
        <w:autoSpaceDE w:val="0"/>
        <w:autoSpaceDN w:val="0"/>
        <w:adjustRightInd w:val="0"/>
        <w:jc w:val="both"/>
        <w:rPr>
          <w:rFonts w:ascii="Verdana" w:hAnsi="Verdana" w:cs="Arial"/>
        </w:rPr>
      </w:pPr>
    </w:p>
    <w:p w14:paraId="31970BC4"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61C91B40" w14:textId="77777777" w:rsidR="007C7EF4" w:rsidRPr="00CD459A" w:rsidRDefault="007C7EF4" w:rsidP="00AB3D96">
      <w:pPr>
        <w:pStyle w:val="Prrafodelista"/>
        <w:widowControl w:val="0"/>
        <w:numPr>
          <w:ilvl w:val="0"/>
          <w:numId w:val="76"/>
        </w:numPr>
        <w:autoSpaceDE w:val="0"/>
        <w:autoSpaceDN w:val="0"/>
        <w:adjustRightInd w:val="0"/>
        <w:spacing w:line="240" w:lineRule="auto"/>
        <w:jc w:val="both"/>
        <w:rPr>
          <w:rFonts w:ascii="Verdana" w:hAnsi="Verdana" w:cs="Arial"/>
        </w:rPr>
      </w:pPr>
      <w:r w:rsidRPr="00CD459A">
        <w:rPr>
          <w:rFonts w:ascii="Verdana" w:hAnsi="Verdana" w:cs="Arial"/>
        </w:rPr>
        <w:t>La utilidad del Fondo de Ahorro y estabilización – FAE equivalente en pesos del mes, hasta por el saldo que existe en esta subcuenta, con debito a la subcuenta 190801 – Recursos entregados en Administración.</w:t>
      </w:r>
    </w:p>
    <w:p w14:paraId="7B27475B" w14:textId="77777777" w:rsidR="007C7EF4" w:rsidRPr="00CD459A" w:rsidRDefault="007C7EF4" w:rsidP="007C7EF4">
      <w:pPr>
        <w:suppressLineNumbers/>
        <w:tabs>
          <w:tab w:val="left" w:pos="-720"/>
        </w:tabs>
        <w:jc w:val="both"/>
        <w:rPr>
          <w:rFonts w:ascii="Verdana" w:hAnsi="Verdana" w:cs="Arial"/>
        </w:rPr>
      </w:pPr>
    </w:p>
    <w:p w14:paraId="2CE9577C"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color w:val="auto"/>
          <w:sz w:val="22"/>
          <w:szCs w:val="22"/>
        </w:rPr>
      </w:pPr>
      <w:bookmarkStart w:id="793" w:name="_Toc62483990"/>
      <w:bookmarkStart w:id="794" w:name="_Toc94710276"/>
      <w:r w:rsidRPr="00CD459A">
        <w:rPr>
          <w:rFonts w:ascii="Verdana" w:hAnsi="Verdana" w:cs="Arial"/>
          <w:color w:val="auto"/>
          <w:sz w:val="22"/>
          <w:szCs w:val="22"/>
        </w:rPr>
        <w:t>GASTOS</w:t>
      </w:r>
      <w:bookmarkEnd w:id="793"/>
      <w:bookmarkEnd w:id="794"/>
      <w:r w:rsidRPr="00CD459A">
        <w:rPr>
          <w:rFonts w:ascii="Verdana" w:hAnsi="Verdana" w:cs="Arial"/>
          <w:color w:val="auto"/>
          <w:sz w:val="22"/>
          <w:szCs w:val="22"/>
        </w:rPr>
        <w:t xml:space="preserve"> </w:t>
      </w:r>
      <w:r w:rsidRPr="00CD459A">
        <w:rPr>
          <w:rFonts w:ascii="Verdana" w:hAnsi="Verdana" w:cs="Arial"/>
          <w:color w:val="auto"/>
          <w:sz w:val="22"/>
          <w:szCs w:val="22"/>
        </w:rPr>
        <w:tab/>
      </w:r>
    </w:p>
    <w:p w14:paraId="0ECDF968"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602BA0D7" w14:textId="77777777" w:rsidTr="003B74CE">
        <w:tc>
          <w:tcPr>
            <w:tcW w:w="1984" w:type="dxa"/>
          </w:tcPr>
          <w:p w14:paraId="0EE5B79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1DC0E72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0C70D86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130C08AB" w14:textId="77777777" w:rsidTr="003B74CE">
        <w:tc>
          <w:tcPr>
            <w:tcW w:w="1984" w:type="dxa"/>
          </w:tcPr>
          <w:p w14:paraId="04C650B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w:t>
            </w:r>
          </w:p>
        </w:tc>
        <w:tc>
          <w:tcPr>
            <w:tcW w:w="3413" w:type="dxa"/>
          </w:tcPr>
          <w:p w14:paraId="47144D6F" w14:textId="77777777" w:rsidR="007C7EF4" w:rsidRPr="00CD459A" w:rsidRDefault="007C7EF4" w:rsidP="003B74CE">
            <w:pPr>
              <w:widowControl w:val="0"/>
              <w:autoSpaceDE w:val="0"/>
              <w:autoSpaceDN w:val="0"/>
              <w:adjustRightInd w:val="0"/>
              <w:jc w:val="both"/>
              <w:rPr>
                <w:rFonts w:ascii="Verdana" w:hAnsi="Verdana" w:cs="Arial"/>
              </w:rPr>
            </w:pPr>
          </w:p>
        </w:tc>
        <w:tc>
          <w:tcPr>
            <w:tcW w:w="3482" w:type="dxa"/>
          </w:tcPr>
          <w:p w14:paraId="70EB6EF1"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2812E3EF" w14:textId="77777777" w:rsidTr="003B74CE">
        <w:tc>
          <w:tcPr>
            <w:tcW w:w="1984" w:type="dxa"/>
          </w:tcPr>
          <w:p w14:paraId="4FB5380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GASTOS</w:t>
            </w:r>
          </w:p>
        </w:tc>
        <w:tc>
          <w:tcPr>
            <w:tcW w:w="3413" w:type="dxa"/>
          </w:tcPr>
          <w:p w14:paraId="76323475" w14:textId="77777777" w:rsidR="007C7EF4" w:rsidRPr="00CD459A" w:rsidRDefault="007C7EF4" w:rsidP="003B74CE">
            <w:pPr>
              <w:widowControl w:val="0"/>
              <w:autoSpaceDE w:val="0"/>
              <w:autoSpaceDN w:val="0"/>
              <w:adjustRightInd w:val="0"/>
              <w:jc w:val="both"/>
              <w:rPr>
                <w:rFonts w:ascii="Verdana" w:hAnsi="Verdana" w:cs="Arial"/>
              </w:rPr>
            </w:pPr>
          </w:p>
        </w:tc>
        <w:tc>
          <w:tcPr>
            <w:tcW w:w="3482" w:type="dxa"/>
          </w:tcPr>
          <w:p w14:paraId="7F13723F" w14:textId="77777777" w:rsidR="007C7EF4" w:rsidRPr="00CD459A" w:rsidRDefault="007C7EF4" w:rsidP="003B74CE">
            <w:pPr>
              <w:widowControl w:val="0"/>
              <w:autoSpaceDE w:val="0"/>
              <w:autoSpaceDN w:val="0"/>
              <w:adjustRightInd w:val="0"/>
              <w:jc w:val="both"/>
              <w:rPr>
                <w:rFonts w:ascii="Verdana" w:hAnsi="Verdana" w:cs="Arial"/>
              </w:rPr>
            </w:pPr>
          </w:p>
        </w:tc>
      </w:tr>
    </w:tbl>
    <w:p w14:paraId="77BF03D7" w14:textId="77777777" w:rsidR="007C7EF4" w:rsidRPr="00CD459A" w:rsidRDefault="007C7EF4" w:rsidP="007C7EF4">
      <w:pPr>
        <w:widowControl w:val="0"/>
        <w:autoSpaceDE w:val="0"/>
        <w:autoSpaceDN w:val="0"/>
        <w:adjustRightInd w:val="0"/>
        <w:jc w:val="both"/>
        <w:rPr>
          <w:rFonts w:ascii="Verdana" w:hAnsi="Verdana" w:cs="Arial"/>
        </w:rPr>
      </w:pPr>
    </w:p>
    <w:p w14:paraId="76033BE6"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15AF034C"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los grupos que representan los decrementos en los beneficios económicos o en el potencial de servicio, producidos a lo largo del periodo contable, bien en forma de salidas o disminuciones del valor de los activos, o bien por la generación o aumento de los pasivos, los cuales dan como resultado decrementos en el patrimonio y no están asociados con la adquisición o producción de bienes y la prestación de servicios, vendidos, ni con la distribución de excedentes. Las cuentas que integran esta clase son de naturaleza débito.</w:t>
      </w:r>
    </w:p>
    <w:p w14:paraId="761E3B92" w14:textId="77777777" w:rsidR="007C7EF4" w:rsidRPr="00CD459A" w:rsidRDefault="007C7EF4" w:rsidP="007C7EF4">
      <w:pPr>
        <w:widowControl w:val="0"/>
        <w:autoSpaceDE w:val="0"/>
        <w:autoSpaceDN w:val="0"/>
        <w:adjustRightInd w:val="0"/>
        <w:jc w:val="both"/>
        <w:rPr>
          <w:rFonts w:ascii="Verdana" w:hAnsi="Verdana" w:cs="Arial"/>
        </w:rPr>
      </w:pPr>
    </w:p>
    <w:p w14:paraId="00E03C64"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4815"/>
        <w:gridCol w:w="2080"/>
      </w:tblGrid>
      <w:tr w:rsidR="00CD459A" w:rsidRPr="00CD459A" w14:paraId="3A503F27" w14:textId="77777777" w:rsidTr="003B74CE">
        <w:tc>
          <w:tcPr>
            <w:tcW w:w="1984" w:type="dxa"/>
          </w:tcPr>
          <w:p w14:paraId="35796E9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4815" w:type="dxa"/>
          </w:tcPr>
          <w:p w14:paraId="0E95764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2080" w:type="dxa"/>
          </w:tcPr>
          <w:p w14:paraId="16E7165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49730186" w14:textId="77777777" w:rsidTr="003B74CE">
        <w:tc>
          <w:tcPr>
            <w:tcW w:w="1984" w:type="dxa"/>
          </w:tcPr>
          <w:p w14:paraId="33937C3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4815" w:type="dxa"/>
          </w:tcPr>
          <w:p w14:paraId="3C10CA35"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53</w:t>
            </w:r>
          </w:p>
        </w:tc>
        <w:tc>
          <w:tcPr>
            <w:tcW w:w="2080" w:type="dxa"/>
          </w:tcPr>
          <w:p w14:paraId="6B2A1BA2"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690EBF39" w14:textId="77777777" w:rsidTr="003B74CE">
        <w:tc>
          <w:tcPr>
            <w:tcW w:w="1984" w:type="dxa"/>
          </w:tcPr>
          <w:p w14:paraId="5C0E4C4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4815" w:type="dxa"/>
          </w:tcPr>
          <w:p w14:paraId="2B90BDB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rPr>
              <w:t>DETERIORO, DEPRECIACIONES, AMORTIZACIONES Y PROVISIONES</w:t>
            </w:r>
          </w:p>
        </w:tc>
        <w:tc>
          <w:tcPr>
            <w:tcW w:w="2080" w:type="dxa"/>
          </w:tcPr>
          <w:p w14:paraId="6ACA2C34" w14:textId="77777777" w:rsidR="007C7EF4" w:rsidRPr="00CD459A" w:rsidRDefault="007C7EF4" w:rsidP="003B74CE">
            <w:pPr>
              <w:widowControl w:val="0"/>
              <w:autoSpaceDE w:val="0"/>
              <w:autoSpaceDN w:val="0"/>
              <w:adjustRightInd w:val="0"/>
              <w:jc w:val="both"/>
              <w:rPr>
                <w:rFonts w:ascii="Verdana" w:hAnsi="Verdana" w:cs="Arial"/>
              </w:rPr>
            </w:pPr>
          </w:p>
        </w:tc>
      </w:tr>
    </w:tbl>
    <w:p w14:paraId="75CAE31E" w14:textId="77777777" w:rsidR="007C7EF4" w:rsidRPr="00CD459A" w:rsidRDefault="007C7EF4" w:rsidP="007C7EF4">
      <w:pPr>
        <w:widowControl w:val="0"/>
        <w:autoSpaceDE w:val="0"/>
        <w:autoSpaceDN w:val="0"/>
        <w:adjustRightInd w:val="0"/>
        <w:jc w:val="both"/>
        <w:rPr>
          <w:rFonts w:ascii="Verdana" w:hAnsi="Verdana" w:cs="Arial"/>
        </w:rPr>
      </w:pPr>
    </w:p>
    <w:p w14:paraId="0377E7F1"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55258BB1"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En esta denominación, se incluyen las cuentas que representan los gastos estimados para reflejar el valor del desgaste o pérdida de la capacidad operacional por el uso de los bienes, su consumo, o deterioro, así como los montos para cubrir posibles pérdidas que están sujetas a condiciones de incertidumbre en relación con su cuantía o vencimiento.  </w:t>
      </w:r>
    </w:p>
    <w:p w14:paraId="1C6CF792" w14:textId="77777777" w:rsidR="007C7EF4" w:rsidRPr="00CD459A" w:rsidRDefault="007C7EF4" w:rsidP="007C7EF4">
      <w:pPr>
        <w:widowControl w:val="0"/>
        <w:autoSpaceDE w:val="0"/>
        <w:autoSpaceDN w:val="0"/>
        <w:adjustRightInd w:val="0"/>
        <w:jc w:val="both"/>
        <w:rPr>
          <w:rFonts w:ascii="Verdana" w:hAnsi="Verdana" w:cs="Arial"/>
        </w:rPr>
      </w:pPr>
    </w:p>
    <w:p w14:paraId="1B624F98"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OBJETIVO </w:t>
      </w:r>
    </w:p>
    <w:p w14:paraId="407BD968" w14:textId="33BE9723"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 xml:space="preserve">Definir los lineamientos que se deben tener en cuenta para el reconocimiento, medición, revelación y presentación del deterioro en los Estados Financieros del Sistema General de </w:t>
      </w:r>
      <w:r w:rsidR="00DA3A85" w:rsidRPr="00CD459A">
        <w:rPr>
          <w:rFonts w:ascii="Verdana" w:hAnsi="Verdana" w:cs="Arial"/>
          <w:lang w:val="es-ES_tradnl" w:eastAsia="es-CO"/>
        </w:rPr>
        <w:t>Regalías</w:t>
      </w:r>
      <w:r w:rsidRPr="00CD459A">
        <w:rPr>
          <w:rFonts w:ascii="Verdana" w:hAnsi="Verdana" w:cs="Arial"/>
          <w:lang w:val="es-ES_tradnl" w:eastAsia="es-CO"/>
        </w:rPr>
        <w:t>.</w:t>
      </w:r>
    </w:p>
    <w:p w14:paraId="6A503961" w14:textId="77777777" w:rsidR="007C7EF4" w:rsidRPr="00CD459A" w:rsidRDefault="007C7EF4" w:rsidP="007C7EF4">
      <w:pPr>
        <w:widowControl w:val="0"/>
        <w:autoSpaceDE w:val="0"/>
        <w:autoSpaceDN w:val="0"/>
        <w:adjustRightInd w:val="0"/>
        <w:jc w:val="both"/>
        <w:rPr>
          <w:rFonts w:ascii="Verdana" w:hAnsi="Verdana" w:cs="Arial"/>
        </w:rPr>
      </w:pPr>
    </w:p>
    <w:p w14:paraId="22B62CD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ALCANCE</w:t>
      </w:r>
    </w:p>
    <w:p w14:paraId="33B0CC4B"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lang w:val="es-ES_tradnl" w:eastAsia="es-CO"/>
        </w:rPr>
        <w:t>Esta política se aplicará en la contabilización del deterioro del SGR.</w:t>
      </w:r>
    </w:p>
    <w:p w14:paraId="53370C3D"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31"/>
        <w:gridCol w:w="4207"/>
      </w:tblGrid>
      <w:tr w:rsidR="00CD459A" w:rsidRPr="00CD459A" w14:paraId="0E598602" w14:textId="77777777" w:rsidTr="00DA3A85">
        <w:trPr>
          <w:jc w:val="center"/>
        </w:trPr>
        <w:tc>
          <w:tcPr>
            <w:tcW w:w="4631" w:type="dxa"/>
            <w:tcBorders>
              <w:bottom w:val="single" w:sz="12" w:space="0" w:color="000000"/>
            </w:tcBorders>
            <w:shd w:val="solid" w:color="2F5395" w:fill="FFFFFF"/>
          </w:tcPr>
          <w:p w14:paraId="23038CF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07" w:type="dxa"/>
            <w:tcBorders>
              <w:bottom w:val="single" w:sz="12" w:space="0" w:color="000000"/>
            </w:tcBorders>
            <w:shd w:val="solid" w:color="2F5395" w:fill="FFFFFF"/>
          </w:tcPr>
          <w:p w14:paraId="5A446EBF"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4C3EF560" w14:textId="77777777" w:rsidTr="00DA3A85">
        <w:trPr>
          <w:jc w:val="center"/>
        </w:trPr>
        <w:tc>
          <w:tcPr>
            <w:tcW w:w="4631" w:type="dxa"/>
            <w:tcBorders>
              <w:top w:val="single" w:sz="12" w:space="0" w:color="000000"/>
              <w:bottom w:val="single" w:sz="12" w:space="0" w:color="000000"/>
            </w:tcBorders>
            <w:shd w:val="pct20" w:color="FFFFFF" w:fill="FFFFFF"/>
            <w:vAlign w:val="center"/>
          </w:tcPr>
          <w:p w14:paraId="1B76AE6E"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07" w:type="dxa"/>
            <w:tcBorders>
              <w:top w:val="single" w:sz="12" w:space="0" w:color="000000"/>
              <w:bottom w:val="single" w:sz="12" w:space="0" w:color="000000"/>
            </w:tcBorders>
            <w:shd w:val="pct20" w:color="FFFFFF" w:fill="FFFFFF"/>
            <w:vAlign w:val="center"/>
          </w:tcPr>
          <w:p w14:paraId="330E722D"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53 – DETERIORO, DEPRECIACIONES, AMORTIZACIONES Y PROVISIONES</w:t>
            </w:r>
          </w:p>
        </w:tc>
      </w:tr>
    </w:tbl>
    <w:p w14:paraId="2658333A"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20B1F94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66B433DD" w14:textId="77777777" w:rsidR="007C7EF4" w:rsidRPr="00CD459A" w:rsidRDefault="007C7EF4" w:rsidP="007C7EF4">
      <w:pPr>
        <w:jc w:val="both"/>
        <w:rPr>
          <w:rFonts w:ascii="Verdana" w:hAnsi="Verdana" w:cs="Arial"/>
          <w:b/>
          <w:lang w:val="es-ES_tradnl" w:eastAsia="es-CO"/>
        </w:rPr>
      </w:pPr>
    </w:p>
    <w:p w14:paraId="2A368BCA"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099D8A72"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58262542" w14:textId="77777777" w:rsidTr="003B74CE">
        <w:trPr>
          <w:jc w:val="center"/>
        </w:trPr>
        <w:tc>
          <w:tcPr>
            <w:tcW w:w="3317" w:type="dxa"/>
            <w:tcBorders>
              <w:bottom w:val="single" w:sz="12" w:space="0" w:color="000000"/>
            </w:tcBorders>
            <w:shd w:val="solid" w:color="2F5395" w:fill="FFFFFF"/>
          </w:tcPr>
          <w:p w14:paraId="7BD4E48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3" w:type="dxa"/>
            <w:tcBorders>
              <w:bottom w:val="single" w:sz="12" w:space="0" w:color="000000"/>
            </w:tcBorders>
            <w:shd w:val="solid" w:color="2F5395" w:fill="FFFFFF"/>
          </w:tcPr>
          <w:p w14:paraId="314FA97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6248F33C"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4A7030B0"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Departamento Nacional de Planeación  </w:t>
            </w:r>
          </w:p>
        </w:tc>
        <w:tc>
          <w:tcPr>
            <w:tcW w:w="5523" w:type="dxa"/>
            <w:tcBorders>
              <w:top w:val="single" w:sz="12" w:space="0" w:color="000000"/>
              <w:bottom w:val="single" w:sz="12" w:space="0" w:color="000000"/>
            </w:tcBorders>
            <w:shd w:val="pct20" w:color="FFFFFF" w:fill="FFFFFF"/>
            <w:vAlign w:val="center"/>
          </w:tcPr>
          <w:p w14:paraId="4D08B65D"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Expedir las certificaciones con el valor del deterioro y castigo de cartera que se presente con relación a las multas y sanciones impuestas en virtud del Sistema de Monitoreo seguimiento control y evaluación del Sistema General de Regalías.</w:t>
            </w:r>
          </w:p>
        </w:tc>
      </w:tr>
      <w:tr w:rsidR="00CD459A" w:rsidRPr="00CD459A" w14:paraId="1EA35128"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23A842C1"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Agencia Nacional de Hidrocarburos  </w:t>
            </w:r>
          </w:p>
        </w:tc>
        <w:tc>
          <w:tcPr>
            <w:tcW w:w="5523" w:type="dxa"/>
            <w:tcBorders>
              <w:top w:val="single" w:sz="12" w:space="0" w:color="000000"/>
              <w:bottom w:val="single" w:sz="12" w:space="0" w:color="000000"/>
            </w:tcBorders>
            <w:shd w:val="pct20" w:color="FFFFFF" w:fill="FFFFFF"/>
            <w:vAlign w:val="center"/>
          </w:tcPr>
          <w:p w14:paraId="0915A68E"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Expedir las certificaciones con el valor del deterioro y castigo de cartera que se presente con relación a los deudores por hidrocarburos que tiene el Sistema General de Regalías.</w:t>
            </w:r>
          </w:p>
        </w:tc>
      </w:tr>
      <w:tr w:rsidR="00CD459A" w:rsidRPr="00CD459A" w14:paraId="5CD3FEE3"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7A6D2E84"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Departamento Nacional de Planeación  </w:t>
            </w:r>
          </w:p>
        </w:tc>
        <w:tc>
          <w:tcPr>
            <w:tcW w:w="5523" w:type="dxa"/>
            <w:tcBorders>
              <w:top w:val="single" w:sz="12" w:space="0" w:color="000000"/>
              <w:bottom w:val="single" w:sz="12" w:space="0" w:color="000000"/>
            </w:tcBorders>
            <w:shd w:val="pct20" w:color="FFFFFF" w:fill="FFFFFF"/>
            <w:vAlign w:val="center"/>
          </w:tcPr>
          <w:p w14:paraId="499E66A1"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Expedir las certificaciones con el valor del deterioro y castigo de cartera que se presente con relación a los deudores por minerales que tiene el Sistema General de Regalías.</w:t>
            </w:r>
          </w:p>
        </w:tc>
      </w:tr>
      <w:tr w:rsidR="00CD459A" w:rsidRPr="00CD459A" w14:paraId="0A1EE6C9"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4BE6207B"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3" w:type="dxa"/>
            <w:tcBorders>
              <w:top w:val="single" w:sz="12" w:space="0" w:color="000000"/>
              <w:bottom w:val="single" w:sz="12" w:space="0" w:color="000000"/>
            </w:tcBorders>
            <w:shd w:val="pct20" w:color="FFFFFF" w:fill="FFFFFF"/>
            <w:vAlign w:val="center"/>
          </w:tcPr>
          <w:p w14:paraId="5678FC9A"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Registrar y conciliar las partidas por concepto de deterioro y castigo de cartera que emitan las áreas origen.</w:t>
            </w:r>
          </w:p>
          <w:p w14:paraId="7A7F8BB0"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p>
        </w:tc>
      </w:tr>
    </w:tbl>
    <w:p w14:paraId="5E886CA2" w14:textId="77777777" w:rsidR="007C7EF4" w:rsidRPr="00CD459A" w:rsidRDefault="007C7EF4" w:rsidP="007C7EF4">
      <w:pPr>
        <w:widowControl w:val="0"/>
        <w:autoSpaceDE w:val="0"/>
        <w:autoSpaceDN w:val="0"/>
        <w:adjustRightInd w:val="0"/>
        <w:jc w:val="both"/>
        <w:rPr>
          <w:rFonts w:ascii="Verdana" w:hAnsi="Verdana" w:cs="Arial"/>
        </w:rPr>
      </w:pPr>
    </w:p>
    <w:p w14:paraId="32BC64DC" w14:textId="77777777" w:rsidR="007C7EF4" w:rsidRPr="00CD459A" w:rsidRDefault="007C7EF4" w:rsidP="007C7EF4">
      <w:pPr>
        <w:suppressLineNumbers/>
        <w:tabs>
          <w:tab w:val="left" w:pos="-720"/>
        </w:tabs>
        <w:ind w:right="51"/>
        <w:jc w:val="both"/>
        <w:rPr>
          <w:rFonts w:ascii="Verdana" w:hAnsi="Verdana" w:cs="Arial"/>
        </w:rPr>
      </w:pPr>
    </w:p>
    <w:tbl>
      <w:tblPr>
        <w:tblW w:w="8510" w:type="dxa"/>
        <w:tblInd w:w="129" w:type="dxa"/>
        <w:tblLayout w:type="fixed"/>
        <w:tblCellMar>
          <w:left w:w="127" w:type="dxa"/>
          <w:right w:w="127" w:type="dxa"/>
        </w:tblCellMar>
        <w:tblLook w:val="0000" w:firstRow="0" w:lastRow="0" w:firstColumn="0" w:lastColumn="0" w:noHBand="0" w:noVBand="0"/>
      </w:tblPr>
      <w:tblGrid>
        <w:gridCol w:w="1139"/>
        <w:gridCol w:w="4200"/>
        <w:gridCol w:w="3171"/>
      </w:tblGrid>
      <w:tr w:rsidR="00CD459A" w:rsidRPr="00CD459A" w14:paraId="2E82F0E3" w14:textId="77777777" w:rsidTr="003B74CE">
        <w:trPr>
          <w:cantSplit/>
          <w:trHeight w:val="257"/>
        </w:trPr>
        <w:tc>
          <w:tcPr>
            <w:tcW w:w="1139" w:type="dxa"/>
            <w:tcBorders>
              <w:top w:val="single" w:sz="6" w:space="0" w:color="auto"/>
              <w:left w:val="single" w:sz="6" w:space="0" w:color="auto"/>
              <w:right w:val="single" w:sz="6" w:space="0" w:color="auto"/>
            </w:tcBorders>
          </w:tcPr>
          <w:p w14:paraId="007615E1"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CLASE</w:t>
            </w:r>
          </w:p>
        </w:tc>
        <w:tc>
          <w:tcPr>
            <w:tcW w:w="4200" w:type="dxa"/>
            <w:tcBorders>
              <w:top w:val="single" w:sz="6" w:space="0" w:color="auto"/>
              <w:left w:val="single" w:sz="6" w:space="0" w:color="auto"/>
              <w:right w:val="single" w:sz="6" w:space="0" w:color="auto"/>
            </w:tcBorders>
          </w:tcPr>
          <w:p w14:paraId="4D3216EE"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GRUPO</w:t>
            </w:r>
          </w:p>
        </w:tc>
        <w:tc>
          <w:tcPr>
            <w:tcW w:w="3171" w:type="dxa"/>
            <w:tcBorders>
              <w:top w:val="single" w:sz="6" w:space="0" w:color="auto"/>
              <w:left w:val="single" w:sz="6" w:space="0" w:color="auto"/>
              <w:right w:val="single" w:sz="6" w:space="0" w:color="auto"/>
            </w:tcBorders>
          </w:tcPr>
          <w:p w14:paraId="15A6792A" w14:textId="77777777" w:rsidR="007C7EF4" w:rsidRPr="00CD459A" w:rsidRDefault="007C7EF4" w:rsidP="003B74CE">
            <w:pPr>
              <w:suppressLineNumbers/>
              <w:tabs>
                <w:tab w:val="left" w:pos="-720"/>
                <w:tab w:val="left" w:pos="1134"/>
              </w:tabs>
              <w:spacing w:before="85" w:after="131"/>
              <w:ind w:right="51"/>
              <w:jc w:val="center"/>
              <w:rPr>
                <w:rFonts w:ascii="Verdana" w:hAnsi="Verdana" w:cs="Arial"/>
                <w:b/>
                <w:bCs/>
              </w:rPr>
            </w:pPr>
            <w:r w:rsidRPr="00CD459A">
              <w:rPr>
                <w:rFonts w:ascii="Verdana" w:hAnsi="Verdana" w:cs="Arial"/>
                <w:b/>
                <w:bCs/>
              </w:rPr>
              <w:t>SUBCUENTA</w:t>
            </w:r>
          </w:p>
        </w:tc>
      </w:tr>
      <w:tr w:rsidR="00CD459A" w:rsidRPr="00CD459A" w14:paraId="42F0D708" w14:textId="77777777" w:rsidTr="003B74CE">
        <w:trPr>
          <w:cantSplit/>
          <w:trHeight w:val="250"/>
        </w:trPr>
        <w:tc>
          <w:tcPr>
            <w:tcW w:w="1139" w:type="dxa"/>
            <w:tcBorders>
              <w:top w:val="single" w:sz="6" w:space="0" w:color="auto"/>
              <w:left w:val="single" w:sz="6" w:space="0" w:color="auto"/>
              <w:bottom w:val="single" w:sz="6" w:space="0" w:color="auto"/>
              <w:right w:val="single" w:sz="6" w:space="0" w:color="auto"/>
            </w:tcBorders>
          </w:tcPr>
          <w:p w14:paraId="706009E1"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5</w:t>
            </w:r>
          </w:p>
        </w:tc>
        <w:tc>
          <w:tcPr>
            <w:tcW w:w="4200" w:type="dxa"/>
            <w:tcBorders>
              <w:top w:val="single" w:sz="6" w:space="0" w:color="auto"/>
              <w:left w:val="single" w:sz="6" w:space="0" w:color="auto"/>
              <w:bottom w:val="single" w:sz="6" w:space="0" w:color="auto"/>
              <w:right w:val="single" w:sz="6" w:space="0" w:color="auto"/>
            </w:tcBorders>
          </w:tcPr>
          <w:p w14:paraId="2F67FFA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53</w:t>
            </w:r>
          </w:p>
        </w:tc>
        <w:tc>
          <w:tcPr>
            <w:tcW w:w="3171" w:type="dxa"/>
            <w:tcBorders>
              <w:top w:val="single" w:sz="6" w:space="0" w:color="auto"/>
              <w:left w:val="single" w:sz="6" w:space="0" w:color="auto"/>
              <w:bottom w:val="single" w:sz="6" w:space="0" w:color="auto"/>
              <w:right w:val="single" w:sz="6" w:space="0" w:color="auto"/>
            </w:tcBorders>
            <w:shd w:val="pct20" w:color="auto" w:fill="auto"/>
          </w:tcPr>
          <w:p w14:paraId="43C6F6A4"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534790</w:t>
            </w:r>
          </w:p>
        </w:tc>
      </w:tr>
      <w:tr w:rsidR="00CD459A" w:rsidRPr="00CD459A" w14:paraId="5704D43F" w14:textId="77777777" w:rsidTr="003B74CE">
        <w:trPr>
          <w:cantSplit/>
          <w:trHeight w:val="257"/>
        </w:trPr>
        <w:tc>
          <w:tcPr>
            <w:tcW w:w="1139" w:type="dxa"/>
            <w:tcBorders>
              <w:left w:val="single" w:sz="6" w:space="0" w:color="auto"/>
              <w:bottom w:val="single" w:sz="6" w:space="0" w:color="auto"/>
              <w:right w:val="single" w:sz="6" w:space="0" w:color="auto"/>
            </w:tcBorders>
          </w:tcPr>
          <w:p w14:paraId="2C762580"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GASTO</w:t>
            </w:r>
          </w:p>
        </w:tc>
        <w:tc>
          <w:tcPr>
            <w:tcW w:w="4200" w:type="dxa"/>
            <w:tcBorders>
              <w:left w:val="single" w:sz="6" w:space="0" w:color="auto"/>
              <w:bottom w:val="single" w:sz="6" w:space="0" w:color="auto"/>
              <w:right w:val="single" w:sz="6" w:space="0" w:color="auto"/>
            </w:tcBorders>
          </w:tcPr>
          <w:p w14:paraId="4B895FF0"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DETERIORO, DEPRECIACIONES, AMORTIZACIONES Y PROVISIONES</w:t>
            </w:r>
          </w:p>
        </w:tc>
        <w:tc>
          <w:tcPr>
            <w:tcW w:w="3171" w:type="dxa"/>
            <w:tcBorders>
              <w:left w:val="single" w:sz="6" w:space="0" w:color="auto"/>
              <w:bottom w:val="single" w:sz="6" w:space="0" w:color="auto"/>
              <w:right w:val="single" w:sz="6" w:space="0" w:color="auto"/>
            </w:tcBorders>
            <w:shd w:val="pct20" w:color="auto" w:fill="auto"/>
          </w:tcPr>
          <w:p w14:paraId="70325C1E" w14:textId="77777777" w:rsidR="007C7EF4" w:rsidRPr="00CD459A" w:rsidRDefault="007C7EF4" w:rsidP="003B74CE">
            <w:pPr>
              <w:suppressLineNumbers/>
              <w:tabs>
                <w:tab w:val="left" w:pos="-720"/>
                <w:tab w:val="left" w:pos="1134"/>
              </w:tabs>
              <w:spacing w:before="85" w:after="131"/>
              <w:ind w:right="51"/>
              <w:jc w:val="both"/>
              <w:rPr>
                <w:rFonts w:ascii="Verdana" w:hAnsi="Verdana" w:cs="Arial"/>
              </w:rPr>
            </w:pPr>
            <w:r w:rsidRPr="00CD459A">
              <w:rPr>
                <w:rFonts w:ascii="Verdana" w:hAnsi="Verdana" w:cs="Arial"/>
              </w:rPr>
              <w:t>OTRAS CUENTAS POR COBRAR</w:t>
            </w:r>
          </w:p>
        </w:tc>
      </w:tr>
    </w:tbl>
    <w:p w14:paraId="6F4F5DB5" w14:textId="77777777" w:rsidR="007C7EF4" w:rsidRPr="00CD459A" w:rsidRDefault="007C7EF4" w:rsidP="007C7EF4">
      <w:pPr>
        <w:suppressLineNumbers/>
        <w:tabs>
          <w:tab w:val="left" w:pos="-720"/>
          <w:tab w:val="left" w:pos="1134"/>
        </w:tabs>
        <w:ind w:right="51"/>
        <w:jc w:val="both"/>
        <w:rPr>
          <w:rFonts w:ascii="Verdana" w:hAnsi="Verdana" w:cs="Arial"/>
        </w:rPr>
      </w:pPr>
    </w:p>
    <w:p w14:paraId="52CAED60" w14:textId="77777777" w:rsidR="007C7EF4" w:rsidRPr="00CD459A" w:rsidRDefault="007C7EF4" w:rsidP="007C7EF4">
      <w:pPr>
        <w:pStyle w:val="Textoindependiente"/>
        <w:ind w:right="47"/>
        <w:rPr>
          <w:rFonts w:ascii="Verdana" w:hAnsi="Verdana" w:cs="Arial"/>
          <w:sz w:val="22"/>
          <w:szCs w:val="22"/>
        </w:rPr>
      </w:pPr>
      <w:r w:rsidRPr="00CD459A">
        <w:rPr>
          <w:rFonts w:ascii="Verdana" w:hAnsi="Verdana" w:cs="Arial"/>
          <w:sz w:val="22"/>
          <w:szCs w:val="22"/>
        </w:rPr>
        <w:t>DESCRIPCIÓN </w:t>
      </w:r>
    </w:p>
    <w:p w14:paraId="4E016932" w14:textId="77777777" w:rsidR="007C7EF4" w:rsidRPr="00CD459A" w:rsidRDefault="007C7EF4" w:rsidP="007C7EF4">
      <w:pPr>
        <w:pStyle w:val="Normal11"/>
        <w:jc w:val="both"/>
        <w:rPr>
          <w:rFonts w:ascii="Verdana" w:hAnsi="Verdana" w:cs="Arial"/>
          <w:sz w:val="22"/>
          <w:szCs w:val="22"/>
          <w:lang w:val="es-ES_tradnl"/>
        </w:rPr>
      </w:pPr>
    </w:p>
    <w:p w14:paraId="272D7D88"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El saldo de esta cuenta se refleja el valor que corresponde al deterioro de las cuentas por cobrar que posee el Sistema General de Regalías. </w:t>
      </w:r>
    </w:p>
    <w:p w14:paraId="17358022" w14:textId="77777777" w:rsidR="007C7EF4" w:rsidRPr="00CD459A" w:rsidRDefault="007C7EF4" w:rsidP="007C7EF4">
      <w:pPr>
        <w:autoSpaceDE w:val="0"/>
        <w:autoSpaceDN w:val="0"/>
        <w:adjustRightInd w:val="0"/>
        <w:jc w:val="both"/>
        <w:rPr>
          <w:rFonts w:ascii="Verdana" w:hAnsi="Verdana" w:cs="Arial"/>
          <w:lang w:val="es-ES_tradnl"/>
        </w:rPr>
      </w:pPr>
    </w:p>
    <w:p w14:paraId="7A8154E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MEDICIÓN </w:t>
      </w:r>
    </w:p>
    <w:p w14:paraId="50C8A72C"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deterioro se mide con el valor certificado por la Agencia Nacional de Hidrocarburos, la Agencia Nacional de Minería y los responsables de la gestión de cobro de los demás deudores del Sistema General de Regalías, dependiendo de las políticas y procedimientos definidos para tal efecto.</w:t>
      </w:r>
    </w:p>
    <w:p w14:paraId="3CC21F26" w14:textId="77777777" w:rsidR="007C7EF4" w:rsidRPr="00CD459A" w:rsidRDefault="007C7EF4" w:rsidP="007C7EF4">
      <w:pPr>
        <w:autoSpaceDE w:val="0"/>
        <w:autoSpaceDN w:val="0"/>
        <w:adjustRightInd w:val="0"/>
        <w:jc w:val="both"/>
        <w:rPr>
          <w:rFonts w:ascii="Verdana" w:hAnsi="Verdana" w:cs="Arial"/>
          <w:lang w:val="es-ES_tradnl"/>
        </w:rPr>
      </w:pPr>
    </w:p>
    <w:p w14:paraId="7E31B850"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FUENTES DE INFORMACIÓN </w:t>
      </w:r>
    </w:p>
    <w:p w14:paraId="38A35A02"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el Contador de la Agencia Nacional de Hidrocarburos.</w:t>
      </w:r>
    </w:p>
    <w:p w14:paraId="6DC0D065"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el Contador de la Agencia Nacional de Minería.</w:t>
      </w:r>
    </w:p>
    <w:p w14:paraId="1907B272"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Certificación emitida por los demás responsables de la gestión de cobro de los deudores del Sistema General de Regalías.</w:t>
      </w:r>
    </w:p>
    <w:p w14:paraId="57558DB7" w14:textId="77777777" w:rsidR="007C7EF4" w:rsidRPr="00CD459A" w:rsidRDefault="007C7EF4" w:rsidP="007C7EF4">
      <w:pPr>
        <w:autoSpaceDE w:val="0"/>
        <w:autoSpaceDN w:val="0"/>
        <w:adjustRightInd w:val="0"/>
        <w:jc w:val="both"/>
        <w:rPr>
          <w:rFonts w:ascii="Verdana" w:hAnsi="Verdana" w:cs="Arial"/>
          <w:lang w:val="es-ES_tradnl"/>
        </w:rPr>
      </w:pPr>
    </w:p>
    <w:p w14:paraId="082A7834"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CONCILIACIÓN </w:t>
      </w:r>
    </w:p>
    <w:p w14:paraId="4B3EC2A5"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Se compara el saldo contable por tercero frente, al detalle remitido por la Agencia Nacional de Hidrocarburos, la Agencia Nacional de Minería y los demás responsables de la gestión de cobro de los deudores del Sistema General de Regalías.</w:t>
      </w:r>
    </w:p>
    <w:p w14:paraId="41BE04F0" w14:textId="77777777" w:rsidR="007C7EF4" w:rsidRPr="00CD459A" w:rsidRDefault="007C7EF4" w:rsidP="007C7EF4">
      <w:pPr>
        <w:autoSpaceDE w:val="0"/>
        <w:autoSpaceDN w:val="0"/>
        <w:adjustRightInd w:val="0"/>
        <w:jc w:val="both"/>
        <w:rPr>
          <w:rFonts w:ascii="Verdana" w:hAnsi="Verdana" w:cs="Arial"/>
          <w:lang w:val="es-ES_tradnl"/>
        </w:rPr>
      </w:pPr>
    </w:p>
    <w:p w14:paraId="31D05297" w14:textId="77777777" w:rsidR="007C7EF4" w:rsidRPr="00CD459A"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 xml:space="preserve">REVELACIONES </w:t>
      </w:r>
    </w:p>
    <w:p w14:paraId="5052C894" w14:textId="77777777" w:rsidR="007C7EF4" w:rsidRDefault="007C7EF4" w:rsidP="007C7EF4">
      <w:pPr>
        <w:autoSpaceDE w:val="0"/>
        <w:autoSpaceDN w:val="0"/>
        <w:adjustRightInd w:val="0"/>
        <w:jc w:val="both"/>
        <w:rPr>
          <w:rFonts w:ascii="Verdana" w:hAnsi="Verdana" w:cs="Arial"/>
          <w:lang w:val="es-ES_tradnl"/>
        </w:rPr>
      </w:pPr>
      <w:r w:rsidRPr="00CD459A">
        <w:rPr>
          <w:rFonts w:ascii="Verdana" w:hAnsi="Verdana" w:cs="Arial"/>
          <w:lang w:val="es-ES_tradnl"/>
        </w:rPr>
        <w:t>El saldo de la subcuenta 534790 será discriminado por la edad de la cartera en mora sobre la cual se calculó el deterioro.</w:t>
      </w:r>
    </w:p>
    <w:p w14:paraId="0353082D" w14:textId="77777777" w:rsidR="00DA3A85" w:rsidRPr="00CD459A" w:rsidRDefault="00DA3A85" w:rsidP="007C7EF4">
      <w:pPr>
        <w:autoSpaceDE w:val="0"/>
        <w:autoSpaceDN w:val="0"/>
        <w:adjustRightInd w:val="0"/>
        <w:jc w:val="both"/>
        <w:rPr>
          <w:rFonts w:ascii="Verdana" w:hAnsi="Verdana" w:cs="Arial"/>
          <w:lang w:val="es-ES_tradnl"/>
        </w:rPr>
      </w:pPr>
    </w:p>
    <w:p w14:paraId="12E5C171"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DINÁMICA </w:t>
      </w:r>
    </w:p>
    <w:p w14:paraId="133AC034" w14:textId="77777777" w:rsidR="007C7EF4" w:rsidRPr="00CD459A" w:rsidRDefault="007C7EF4" w:rsidP="007C7EF4">
      <w:pPr>
        <w:pStyle w:val="Textoindependiente"/>
        <w:ind w:right="47"/>
        <w:rPr>
          <w:rFonts w:ascii="Verdana" w:hAnsi="Verdana" w:cs="Arial"/>
          <w:sz w:val="22"/>
          <w:szCs w:val="22"/>
          <w:lang w:val="es-CO"/>
        </w:rPr>
      </w:pPr>
    </w:p>
    <w:p w14:paraId="4FEC4E8D" w14:textId="77777777" w:rsidR="007C7EF4" w:rsidRPr="00CD459A" w:rsidRDefault="007C7EF4" w:rsidP="007C7EF4">
      <w:pPr>
        <w:pStyle w:val="Textoindependiente"/>
        <w:ind w:right="47"/>
        <w:rPr>
          <w:rFonts w:ascii="Verdana" w:hAnsi="Verdana" w:cs="Arial"/>
          <w:sz w:val="22"/>
          <w:szCs w:val="22"/>
          <w:lang w:val="es-CO"/>
        </w:rPr>
      </w:pPr>
      <w:r w:rsidRPr="00CD459A">
        <w:rPr>
          <w:rFonts w:ascii="Verdana" w:hAnsi="Verdana" w:cs="Arial"/>
          <w:sz w:val="22"/>
          <w:szCs w:val="22"/>
          <w:lang w:val="es-CO"/>
        </w:rPr>
        <w:t>SE DEBITA CON: </w:t>
      </w:r>
    </w:p>
    <w:p w14:paraId="378E51E3" w14:textId="77777777" w:rsidR="007C7EF4" w:rsidRPr="00CD459A" w:rsidRDefault="007C7EF4" w:rsidP="007C7EF4">
      <w:pPr>
        <w:pStyle w:val="Textoindependiente"/>
        <w:ind w:right="47"/>
        <w:rPr>
          <w:rFonts w:ascii="Verdana" w:hAnsi="Verdana" w:cs="Arial"/>
          <w:sz w:val="22"/>
          <w:szCs w:val="22"/>
        </w:rPr>
      </w:pPr>
    </w:p>
    <w:p w14:paraId="69E8430F" w14:textId="77777777" w:rsidR="007C7EF4" w:rsidRPr="00CD459A" w:rsidRDefault="007C7EF4" w:rsidP="00AB3D96">
      <w:pPr>
        <w:pStyle w:val="Textoindependiente"/>
        <w:widowControl/>
        <w:numPr>
          <w:ilvl w:val="0"/>
          <w:numId w:val="30"/>
        </w:numPr>
        <w:ind w:right="247"/>
        <w:rPr>
          <w:rFonts w:ascii="Verdana" w:hAnsi="Verdana" w:cs="Arial"/>
          <w:sz w:val="22"/>
          <w:szCs w:val="22"/>
          <w:lang w:val="es-CO"/>
        </w:rPr>
      </w:pPr>
      <w:r w:rsidRPr="00CD459A">
        <w:rPr>
          <w:rFonts w:ascii="Verdana" w:hAnsi="Verdana" w:cs="Arial"/>
          <w:sz w:val="22"/>
          <w:szCs w:val="22"/>
          <w:lang w:val="es-CO"/>
        </w:rPr>
        <w:t>El valor del cálculo del deterioro informado por el responsable de la gestión de cobro de los deudores del Sistema General de Regalías, con debito a la subcuenta 138690 - Otras cuentas por cobrar.</w:t>
      </w:r>
    </w:p>
    <w:p w14:paraId="0E618F3D" w14:textId="77777777" w:rsidR="007C7EF4" w:rsidRPr="00CD459A" w:rsidRDefault="007C7EF4" w:rsidP="007C7EF4">
      <w:pPr>
        <w:pStyle w:val="Textoindependiente"/>
        <w:ind w:right="47"/>
        <w:rPr>
          <w:rFonts w:ascii="Verdana" w:hAnsi="Verdana" w:cs="Arial"/>
          <w:sz w:val="22"/>
          <w:szCs w:val="22"/>
          <w:lang w:val="es-CO"/>
        </w:rPr>
      </w:pPr>
    </w:p>
    <w:p w14:paraId="4FC0C324" w14:textId="77777777" w:rsidR="007C7EF4" w:rsidRPr="00CD459A" w:rsidRDefault="007C7EF4" w:rsidP="007C7EF4">
      <w:pPr>
        <w:pStyle w:val="Textoindependiente"/>
        <w:widowControl/>
        <w:ind w:left="360" w:right="388"/>
        <w:rPr>
          <w:rFonts w:ascii="Verdana" w:hAnsi="Verdana" w:cs="Arial"/>
          <w:sz w:val="22"/>
          <w:szCs w:val="22"/>
          <w:lang w:val="es-ES_tradnl"/>
        </w:rPr>
      </w:pPr>
    </w:p>
    <w:p w14:paraId="310B2DD2" w14:textId="77777777" w:rsidR="007C7EF4" w:rsidRDefault="007C7EF4" w:rsidP="007C7EF4">
      <w:pPr>
        <w:pStyle w:val="Textoindependiente"/>
        <w:ind w:right="47"/>
        <w:rPr>
          <w:rFonts w:ascii="Verdana" w:hAnsi="Verdana" w:cs="Arial"/>
          <w:sz w:val="22"/>
          <w:szCs w:val="22"/>
        </w:rPr>
      </w:pPr>
      <w:r w:rsidRPr="00CD459A">
        <w:rPr>
          <w:rFonts w:ascii="Verdana" w:hAnsi="Verdana" w:cs="Arial"/>
          <w:sz w:val="22"/>
          <w:szCs w:val="22"/>
        </w:rPr>
        <w:t>SE ACREDITA CON:</w:t>
      </w:r>
    </w:p>
    <w:p w14:paraId="40C6A066" w14:textId="77777777" w:rsidR="00DA3A85" w:rsidRPr="00CD459A" w:rsidRDefault="00DA3A85" w:rsidP="007C7EF4">
      <w:pPr>
        <w:pStyle w:val="Textoindependiente"/>
        <w:ind w:right="47"/>
        <w:rPr>
          <w:rFonts w:ascii="Verdana" w:hAnsi="Verdana" w:cs="Arial"/>
          <w:sz w:val="22"/>
          <w:szCs w:val="22"/>
        </w:rPr>
      </w:pPr>
    </w:p>
    <w:p w14:paraId="14E9A0CA" w14:textId="77777777" w:rsidR="007C7EF4" w:rsidRPr="00CD459A"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CO"/>
        </w:rPr>
        <w:t xml:space="preserve">El valor recaudado por el cumplimiento de la obligación del deudor. </w:t>
      </w:r>
      <w:r w:rsidRPr="00CD459A">
        <w:rPr>
          <w:rFonts w:ascii="Verdana" w:hAnsi="Verdana" w:cs="Arial"/>
          <w:sz w:val="22"/>
          <w:szCs w:val="22"/>
          <w:lang w:val="es-ES_tradnl"/>
        </w:rPr>
        <w:t xml:space="preserve">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 la subcuenta 138690 - Otras cuentas por cobrar.</w:t>
      </w:r>
    </w:p>
    <w:p w14:paraId="61CA3481" w14:textId="77777777" w:rsidR="007C7EF4" w:rsidRPr="00CD459A" w:rsidRDefault="007C7EF4" w:rsidP="00AB3D96">
      <w:pPr>
        <w:pStyle w:val="Textoindependiente"/>
        <w:widowControl/>
        <w:numPr>
          <w:ilvl w:val="0"/>
          <w:numId w:val="30"/>
        </w:numPr>
        <w:ind w:right="388"/>
        <w:rPr>
          <w:rFonts w:ascii="Verdana" w:hAnsi="Verdana" w:cs="Arial"/>
          <w:sz w:val="22"/>
          <w:szCs w:val="22"/>
          <w:lang w:val="es-ES_tradnl"/>
        </w:rPr>
      </w:pPr>
      <w:r w:rsidRPr="00CD459A">
        <w:rPr>
          <w:rFonts w:ascii="Verdana" w:hAnsi="Verdana" w:cs="Arial"/>
          <w:sz w:val="22"/>
          <w:szCs w:val="22"/>
          <w:lang w:val="es-ES_tradnl"/>
        </w:rPr>
        <w:t xml:space="preserve">El castigo de cartera cuando se establece como incobrable. La </w:t>
      </w:r>
      <w:r w:rsidRPr="00CD459A">
        <w:rPr>
          <w:rFonts w:ascii="Verdana" w:hAnsi="Verdana" w:cs="Arial"/>
          <w:sz w:val="22"/>
          <w:szCs w:val="22"/>
          <w:lang w:val="es-CO"/>
        </w:rPr>
        <w:t>contrapartida</w:t>
      </w:r>
      <w:r w:rsidRPr="00CD459A">
        <w:rPr>
          <w:rFonts w:ascii="Verdana" w:hAnsi="Verdana" w:cs="Arial"/>
          <w:sz w:val="22"/>
          <w:szCs w:val="22"/>
          <w:lang w:val="es-ES_tradnl"/>
        </w:rPr>
        <w:t xml:space="preserve"> corresponde al deudor que originó el deterioro.</w:t>
      </w:r>
    </w:p>
    <w:p w14:paraId="254D31E0" w14:textId="77777777" w:rsidR="007C7EF4" w:rsidRPr="00CD459A" w:rsidRDefault="007C7EF4" w:rsidP="007C7EF4">
      <w:pPr>
        <w:suppressLineNumbers/>
        <w:tabs>
          <w:tab w:val="left" w:pos="-720"/>
        </w:tabs>
        <w:ind w:left="284" w:hanging="284"/>
        <w:jc w:val="both"/>
        <w:rPr>
          <w:rFonts w:ascii="Verdana" w:hAnsi="Verdana" w:cs="Arial"/>
        </w:rPr>
      </w:pPr>
    </w:p>
    <w:p w14:paraId="1D7F1F44"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4532"/>
        <w:gridCol w:w="2363"/>
      </w:tblGrid>
      <w:tr w:rsidR="00CD459A" w:rsidRPr="00CD459A" w14:paraId="0FF72ECE" w14:textId="77777777" w:rsidTr="003B74CE">
        <w:tc>
          <w:tcPr>
            <w:tcW w:w="1984" w:type="dxa"/>
          </w:tcPr>
          <w:p w14:paraId="30DF32B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4532" w:type="dxa"/>
          </w:tcPr>
          <w:p w14:paraId="7DA98D7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2363" w:type="dxa"/>
          </w:tcPr>
          <w:p w14:paraId="6CA4F92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5FB0C3E8" w14:textId="77777777" w:rsidTr="003B74CE">
        <w:tc>
          <w:tcPr>
            <w:tcW w:w="1984" w:type="dxa"/>
          </w:tcPr>
          <w:p w14:paraId="18CB3C07"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4532" w:type="dxa"/>
          </w:tcPr>
          <w:p w14:paraId="47CA8BF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w:t>
            </w:r>
          </w:p>
        </w:tc>
        <w:tc>
          <w:tcPr>
            <w:tcW w:w="2363" w:type="dxa"/>
          </w:tcPr>
          <w:p w14:paraId="40678D9E"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7FE30493" w14:textId="77777777" w:rsidTr="003B74CE">
        <w:tc>
          <w:tcPr>
            <w:tcW w:w="1984" w:type="dxa"/>
          </w:tcPr>
          <w:p w14:paraId="1B588F7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4532" w:type="dxa"/>
          </w:tcPr>
          <w:p w14:paraId="2F85CA6A"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TRANSFERENCIAS Y SUBVENCIONES</w:t>
            </w:r>
          </w:p>
        </w:tc>
        <w:tc>
          <w:tcPr>
            <w:tcW w:w="2363" w:type="dxa"/>
          </w:tcPr>
          <w:p w14:paraId="3AB2FEBA" w14:textId="77777777" w:rsidR="007C7EF4" w:rsidRPr="00CD459A" w:rsidRDefault="007C7EF4" w:rsidP="003B74CE">
            <w:pPr>
              <w:widowControl w:val="0"/>
              <w:autoSpaceDE w:val="0"/>
              <w:autoSpaceDN w:val="0"/>
              <w:adjustRightInd w:val="0"/>
              <w:jc w:val="both"/>
              <w:rPr>
                <w:rFonts w:ascii="Verdana" w:hAnsi="Verdana" w:cs="Arial"/>
              </w:rPr>
            </w:pPr>
          </w:p>
        </w:tc>
      </w:tr>
    </w:tbl>
    <w:p w14:paraId="433387E5" w14:textId="77777777" w:rsidR="007C7EF4" w:rsidRPr="00CD459A" w:rsidRDefault="007C7EF4" w:rsidP="007C7EF4">
      <w:pPr>
        <w:widowControl w:val="0"/>
        <w:autoSpaceDE w:val="0"/>
        <w:autoSpaceDN w:val="0"/>
        <w:adjustRightInd w:val="0"/>
        <w:jc w:val="both"/>
        <w:rPr>
          <w:rFonts w:ascii="Verdana" w:hAnsi="Verdana" w:cs="Arial"/>
        </w:rPr>
      </w:pPr>
    </w:p>
    <w:p w14:paraId="2AF125D9"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0045BE84" w14:textId="77777777" w:rsidR="007C7EF4" w:rsidRPr="00CD459A" w:rsidRDefault="007C7EF4" w:rsidP="007C7EF4">
      <w:pPr>
        <w:widowControl w:val="0"/>
        <w:autoSpaceDE w:val="0"/>
        <w:autoSpaceDN w:val="0"/>
        <w:adjustRightInd w:val="0"/>
        <w:jc w:val="both"/>
        <w:rPr>
          <w:rFonts w:ascii="Verdana" w:hAnsi="Verdana" w:cs="Arial"/>
        </w:rPr>
      </w:pPr>
    </w:p>
    <w:p w14:paraId="0EAA88C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En esta denominación, se incluyen las cuentas que representan los gastos por transacciones sin contraprestación causados por la entidad, por recursos entregados a otras entidades de diferentes niveles y sectores, o al sector privado.  </w:t>
      </w:r>
    </w:p>
    <w:p w14:paraId="3F4DDDF6" w14:textId="77777777" w:rsidR="007C7EF4" w:rsidRPr="00CD459A" w:rsidRDefault="007C7EF4" w:rsidP="007C7EF4">
      <w:pPr>
        <w:widowControl w:val="0"/>
        <w:autoSpaceDE w:val="0"/>
        <w:autoSpaceDN w:val="0"/>
        <w:adjustRightInd w:val="0"/>
        <w:jc w:val="both"/>
        <w:rPr>
          <w:rFonts w:ascii="Verdana" w:hAnsi="Verdana" w:cs="Arial"/>
        </w:rPr>
      </w:pPr>
    </w:p>
    <w:p w14:paraId="2948F9E5"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OBJETIVO </w:t>
      </w:r>
    </w:p>
    <w:p w14:paraId="0B2C362C"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Definir los lineamientos que se deben tener en cuenta para el reconocimiento, medición, revelación y presentación de las transferencias y subvenciones en los Estados Financieros del Sistema General de Regalias.</w:t>
      </w:r>
    </w:p>
    <w:p w14:paraId="3A26DA2D" w14:textId="77777777" w:rsidR="007C7EF4" w:rsidRPr="00CD459A" w:rsidRDefault="007C7EF4" w:rsidP="007C7EF4">
      <w:pPr>
        <w:widowControl w:val="0"/>
        <w:autoSpaceDE w:val="0"/>
        <w:autoSpaceDN w:val="0"/>
        <w:adjustRightInd w:val="0"/>
        <w:jc w:val="both"/>
        <w:rPr>
          <w:rFonts w:ascii="Verdana" w:hAnsi="Verdana" w:cs="Arial"/>
        </w:rPr>
      </w:pPr>
    </w:p>
    <w:p w14:paraId="7F8CBFEB"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ALCANCE</w:t>
      </w:r>
    </w:p>
    <w:p w14:paraId="32C6119E"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lang w:val="es-ES_tradnl" w:eastAsia="es-CO"/>
        </w:rPr>
        <w:t>Esta política se aplicará en la contabilización de las transferencias y subvenciones del SGR.</w:t>
      </w:r>
    </w:p>
    <w:p w14:paraId="739EA2A0" w14:textId="77777777" w:rsidR="007C7EF4" w:rsidRPr="00CD459A" w:rsidRDefault="007C7EF4" w:rsidP="007C7EF4">
      <w:pPr>
        <w:widowControl w:val="0"/>
        <w:autoSpaceDE w:val="0"/>
        <w:autoSpaceDN w:val="0"/>
        <w:adjustRightInd w:val="0"/>
        <w:jc w:val="both"/>
        <w:rPr>
          <w:rFonts w:ascii="Verdana" w:hAnsi="Verdana" w:cs="Arial"/>
        </w:rPr>
      </w:pPr>
    </w:p>
    <w:p w14:paraId="27D1D83A"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p w14:paraId="3860E58A" w14:textId="77777777" w:rsidR="007C7EF4" w:rsidRPr="00CD459A" w:rsidRDefault="007C7EF4" w:rsidP="007C7EF4">
      <w:pPr>
        <w:jc w:val="both"/>
        <w:rPr>
          <w:rFonts w:ascii="Verdana" w:hAnsi="Verdana" w:cs="Arial"/>
          <w:b/>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7F8882BD" w14:textId="77777777" w:rsidTr="003B74CE">
        <w:trPr>
          <w:jc w:val="center"/>
        </w:trPr>
        <w:tc>
          <w:tcPr>
            <w:tcW w:w="4678" w:type="dxa"/>
            <w:tcBorders>
              <w:bottom w:val="single" w:sz="12" w:space="0" w:color="000000"/>
            </w:tcBorders>
            <w:shd w:val="solid" w:color="2F5395" w:fill="FFFFFF"/>
          </w:tcPr>
          <w:p w14:paraId="7852A902"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162AB5A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3A3CB4A8"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330C8525"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025CB948"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54 – Transferencias y Subvenciones</w:t>
            </w:r>
          </w:p>
        </w:tc>
      </w:tr>
    </w:tbl>
    <w:p w14:paraId="45EB5F09"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71A9AA1E"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14F0368A" w14:textId="77777777" w:rsidR="007C7EF4" w:rsidRPr="00CD459A" w:rsidRDefault="007C7EF4" w:rsidP="007C7EF4">
      <w:pPr>
        <w:jc w:val="both"/>
        <w:rPr>
          <w:rFonts w:ascii="Verdana" w:hAnsi="Verdana" w:cs="Arial"/>
          <w:b/>
          <w:lang w:val="es-ES_tradnl" w:eastAsia="es-CO"/>
        </w:rPr>
      </w:pPr>
    </w:p>
    <w:p w14:paraId="5E690680"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7E2B4971"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363506E0" w14:textId="77777777" w:rsidTr="003B74CE">
        <w:trPr>
          <w:jc w:val="center"/>
        </w:trPr>
        <w:tc>
          <w:tcPr>
            <w:tcW w:w="3317" w:type="dxa"/>
            <w:tcBorders>
              <w:bottom w:val="single" w:sz="12" w:space="0" w:color="000000"/>
            </w:tcBorders>
            <w:shd w:val="solid" w:color="2F5395" w:fill="FFFFFF"/>
          </w:tcPr>
          <w:p w14:paraId="5DAD784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3" w:type="dxa"/>
            <w:tcBorders>
              <w:bottom w:val="single" w:sz="12" w:space="0" w:color="000000"/>
            </w:tcBorders>
            <w:shd w:val="solid" w:color="2F5395" w:fill="FFFFFF"/>
          </w:tcPr>
          <w:p w14:paraId="62ECEC60"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49B1457F"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2B559DB6"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Departamento Nacional de Planeación  </w:t>
            </w:r>
          </w:p>
        </w:tc>
        <w:tc>
          <w:tcPr>
            <w:tcW w:w="5523" w:type="dxa"/>
            <w:tcBorders>
              <w:top w:val="single" w:sz="12" w:space="0" w:color="000000"/>
              <w:bottom w:val="single" w:sz="12" w:space="0" w:color="000000"/>
            </w:tcBorders>
            <w:shd w:val="pct20" w:color="FFFFFF" w:fill="FFFFFF"/>
            <w:vAlign w:val="center"/>
          </w:tcPr>
          <w:p w14:paraId="0E901CE5"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Generar y Cargar en el SPGR, las Instrucciones de Abono en Cuenta, redistribuciones y demás distribuciones a las que haya lugar.</w:t>
            </w:r>
          </w:p>
        </w:tc>
      </w:tr>
      <w:tr w:rsidR="00CD459A" w:rsidRPr="00CD459A" w14:paraId="6A78DF4F"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30C3FDD7"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3" w:type="dxa"/>
            <w:tcBorders>
              <w:top w:val="single" w:sz="12" w:space="0" w:color="000000"/>
              <w:bottom w:val="single" w:sz="12" w:space="0" w:color="000000"/>
            </w:tcBorders>
            <w:shd w:val="pct20" w:color="FFFFFF" w:fill="FFFFFF"/>
            <w:vAlign w:val="center"/>
          </w:tcPr>
          <w:p w14:paraId="69EDFFBD"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 xml:space="preserve">Conciliar y depurar las partidas de Transferencias y subvenciones. </w:t>
            </w:r>
          </w:p>
        </w:tc>
      </w:tr>
    </w:tbl>
    <w:p w14:paraId="3A1BB7E3" w14:textId="77777777" w:rsidR="007C7EF4" w:rsidRPr="00CD459A" w:rsidRDefault="007C7EF4" w:rsidP="007C7EF4">
      <w:pPr>
        <w:widowControl w:val="0"/>
        <w:autoSpaceDE w:val="0"/>
        <w:autoSpaceDN w:val="0"/>
        <w:adjustRightInd w:val="0"/>
        <w:jc w:val="both"/>
        <w:rPr>
          <w:rFonts w:ascii="Verdana" w:hAnsi="Verdana" w:cs="Arial"/>
        </w:rPr>
      </w:pPr>
    </w:p>
    <w:p w14:paraId="546A3F4E" w14:textId="77777777" w:rsidR="007C7EF4" w:rsidRPr="00CD459A" w:rsidRDefault="007C7EF4" w:rsidP="007C7EF4">
      <w:pPr>
        <w:widowControl w:val="0"/>
        <w:autoSpaceDE w:val="0"/>
        <w:autoSpaceDN w:val="0"/>
        <w:adjustRightInd w:val="0"/>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79D1AC55" w14:textId="77777777" w:rsidTr="003B74CE">
        <w:tc>
          <w:tcPr>
            <w:tcW w:w="1984" w:type="dxa"/>
          </w:tcPr>
          <w:p w14:paraId="0B0B63E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4F03B90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5CDF33C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26C28C65" w14:textId="77777777" w:rsidTr="003B74CE">
        <w:tc>
          <w:tcPr>
            <w:tcW w:w="1984" w:type="dxa"/>
          </w:tcPr>
          <w:p w14:paraId="7BCD39A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0B2AAB58"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3482" w:type="dxa"/>
          </w:tcPr>
          <w:p w14:paraId="7EFC0E6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541301</w:t>
            </w:r>
          </w:p>
        </w:tc>
      </w:tr>
      <w:tr w:rsidR="00CD459A" w:rsidRPr="00CD459A" w14:paraId="607461FA" w14:textId="77777777" w:rsidTr="003B74CE">
        <w:tc>
          <w:tcPr>
            <w:tcW w:w="1984" w:type="dxa"/>
          </w:tcPr>
          <w:p w14:paraId="1090D10A"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1EB03803"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3482" w:type="dxa"/>
          </w:tcPr>
          <w:p w14:paraId="69619A9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ASIGNACIONES DIRECTAS</w:t>
            </w:r>
          </w:p>
        </w:tc>
      </w:tr>
    </w:tbl>
    <w:p w14:paraId="6BDFACD4" w14:textId="77777777" w:rsidR="007C7EF4" w:rsidRPr="00CD459A" w:rsidRDefault="007C7EF4" w:rsidP="007C7EF4">
      <w:pPr>
        <w:widowControl w:val="0"/>
        <w:autoSpaceDE w:val="0"/>
        <w:autoSpaceDN w:val="0"/>
        <w:adjustRightInd w:val="0"/>
        <w:jc w:val="both"/>
        <w:rPr>
          <w:rFonts w:ascii="Verdana" w:hAnsi="Verdana" w:cs="Arial"/>
        </w:rPr>
      </w:pPr>
    </w:p>
    <w:p w14:paraId="7EF6284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228A1C1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por el DNP para asignaciones directas durante la vigencia fiscal en curso, para los departamentos, municipios y distritos en cuyo territorio se adelanten explotaciones de recursos naturales no renovables, así como los municipios y distritos con puertos marítimos y fluviales por donde se transporten dichos recursos o productos derivados de los mismos. El valor que le corresponde a cada beneficio resulta de la aplicación de los porcentajes señalados en la Constitución Política y en la ley para esta destinación, a los recursos que se deben distribuir mensualmente definidos por la Agencia Nacional de Hidrocarburos y la Agencia Nacional de Minería.</w:t>
      </w:r>
    </w:p>
    <w:p w14:paraId="2763A1D4" w14:textId="77777777" w:rsidR="007C7EF4" w:rsidRPr="00CD459A" w:rsidRDefault="007C7EF4" w:rsidP="007C7EF4">
      <w:pPr>
        <w:suppressLineNumbers/>
        <w:tabs>
          <w:tab w:val="left" w:pos="-720"/>
        </w:tabs>
        <w:ind w:left="284" w:hanging="284"/>
        <w:jc w:val="both"/>
        <w:rPr>
          <w:rFonts w:ascii="Verdana" w:hAnsi="Verdana" w:cs="Arial"/>
        </w:rPr>
      </w:pPr>
    </w:p>
    <w:p w14:paraId="3443F9D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2664507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los beneficiarios de asignaciones directas, mediante la Instrucción de abono a cuenta.   </w:t>
      </w:r>
    </w:p>
    <w:p w14:paraId="716FA2D2" w14:textId="77777777" w:rsidR="007C7EF4" w:rsidRPr="00CD459A" w:rsidRDefault="007C7EF4" w:rsidP="007C7EF4">
      <w:pPr>
        <w:suppressLineNumbers/>
        <w:tabs>
          <w:tab w:val="left" w:pos="-720"/>
        </w:tabs>
        <w:jc w:val="both"/>
        <w:rPr>
          <w:rFonts w:ascii="Verdana" w:hAnsi="Verdana" w:cs="Arial"/>
        </w:rPr>
      </w:pPr>
    </w:p>
    <w:p w14:paraId="62C637F7"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318CA6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7918CA2B" w14:textId="77777777" w:rsidR="007C7EF4" w:rsidRPr="00CD459A" w:rsidRDefault="007C7EF4" w:rsidP="007C7EF4">
      <w:pPr>
        <w:suppressLineNumbers/>
        <w:tabs>
          <w:tab w:val="left" w:pos="-720"/>
        </w:tabs>
        <w:ind w:left="284" w:hanging="284"/>
        <w:jc w:val="both"/>
        <w:rPr>
          <w:rFonts w:ascii="Verdana" w:eastAsia="Calibri" w:hAnsi="Verdana" w:cs="Arial"/>
        </w:rPr>
      </w:pPr>
    </w:p>
    <w:p w14:paraId="4710D92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4D67C28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al valor distribuido por el Departamento Nacional de Planeación, por concepto de asignaciones directas.  </w:t>
      </w:r>
    </w:p>
    <w:p w14:paraId="209E490D" w14:textId="77777777" w:rsidR="007C7EF4" w:rsidRPr="00CD459A" w:rsidRDefault="007C7EF4" w:rsidP="007C7EF4">
      <w:pPr>
        <w:suppressLineNumbers/>
        <w:tabs>
          <w:tab w:val="left" w:pos="-720"/>
        </w:tabs>
        <w:jc w:val="both"/>
        <w:rPr>
          <w:rFonts w:ascii="Verdana" w:hAnsi="Verdana" w:cs="Arial"/>
        </w:rPr>
      </w:pPr>
    </w:p>
    <w:p w14:paraId="73653E4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3358991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por asignaciones directas durante el año en curso, para los terceros más representativos y su participación porcentual respecto al valor total de la subcuenta.</w:t>
      </w:r>
    </w:p>
    <w:p w14:paraId="68F6AF2C" w14:textId="77777777" w:rsidR="007C7EF4" w:rsidRPr="00CD459A" w:rsidRDefault="007C7EF4" w:rsidP="007C7EF4">
      <w:pPr>
        <w:suppressLineNumbers/>
        <w:tabs>
          <w:tab w:val="left" w:pos="-720"/>
        </w:tabs>
        <w:ind w:left="284" w:hanging="284"/>
        <w:jc w:val="both"/>
        <w:rPr>
          <w:rFonts w:ascii="Verdana" w:hAnsi="Verdana" w:cs="Arial"/>
        </w:rPr>
      </w:pPr>
    </w:p>
    <w:p w14:paraId="5AAB095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E915C90" w14:textId="77777777" w:rsidR="007C7EF4" w:rsidRPr="00CD459A" w:rsidRDefault="007C7EF4" w:rsidP="007C7EF4">
      <w:pPr>
        <w:suppressLineNumbers/>
        <w:tabs>
          <w:tab w:val="left" w:pos="-720"/>
        </w:tabs>
        <w:ind w:left="284" w:hanging="284"/>
        <w:jc w:val="both"/>
        <w:rPr>
          <w:rFonts w:ascii="Verdana" w:hAnsi="Verdana" w:cs="Arial"/>
        </w:rPr>
      </w:pPr>
    </w:p>
    <w:p w14:paraId="5998EEFB"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5B14F7F6" w14:textId="77777777" w:rsidR="007C7EF4" w:rsidRPr="00CD459A" w:rsidRDefault="007C7EF4" w:rsidP="007C7EF4">
      <w:pPr>
        <w:suppressLineNumbers/>
        <w:tabs>
          <w:tab w:val="left" w:pos="-720"/>
        </w:tabs>
        <w:jc w:val="both"/>
        <w:rPr>
          <w:rFonts w:ascii="Verdana" w:hAnsi="Verdana" w:cs="Arial"/>
        </w:rPr>
      </w:pPr>
    </w:p>
    <w:p w14:paraId="4E797DF8" w14:textId="77777777" w:rsidR="007C7EF4" w:rsidRPr="00CD459A" w:rsidRDefault="007C7EF4" w:rsidP="00AB3D96">
      <w:pPr>
        <w:pStyle w:val="Prrafodelista"/>
        <w:widowControl w:val="0"/>
        <w:numPr>
          <w:ilvl w:val="0"/>
          <w:numId w:val="62"/>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asignaciones directas, con crédito a la subcuenta 240316 – Transferencias Sistema General de Regalías. </w:t>
      </w:r>
    </w:p>
    <w:p w14:paraId="25E278A0" w14:textId="77777777" w:rsidR="007C7EF4" w:rsidRDefault="007C7EF4" w:rsidP="00AB3D96">
      <w:pPr>
        <w:pStyle w:val="Prrafodelista"/>
        <w:widowControl w:val="0"/>
        <w:numPr>
          <w:ilvl w:val="0"/>
          <w:numId w:val="62"/>
        </w:numPr>
        <w:autoSpaceDE w:val="0"/>
        <w:autoSpaceDN w:val="0"/>
        <w:adjustRightInd w:val="0"/>
        <w:spacing w:line="240" w:lineRule="auto"/>
        <w:jc w:val="both"/>
        <w:rPr>
          <w:rFonts w:ascii="Verdana" w:hAnsi="Verdana" w:cs="Arial"/>
        </w:rPr>
      </w:pPr>
      <w:r w:rsidRPr="00CD459A">
        <w:rPr>
          <w:rFonts w:ascii="Verdana" w:hAnsi="Verdana" w:cs="Arial"/>
        </w:rPr>
        <w:t>El valor redistribuido como asignaciones directas a los beneficiarios, del valor que había sido distribuido como Fondo de Desarrollo Regional para – Compensación de Asignaciones Directas, con crédito a la subcuenta 240316 – Transferencias Sistema General de Regalías.</w:t>
      </w:r>
    </w:p>
    <w:p w14:paraId="5E85D2D2" w14:textId="77777777" w:rsidR="00DA3A85" w:rsidRPr="00CD459A" w:rsidRDefault="00DA3A85" w:rsidP="00DA3A85">
      <w:pPr>
        <w:pStyle w:val="Prrafodelista"/>
        <w:widowControl w:val="0"/>
        <w:autoSpaceDE w:val="0"/>
        <w:autoSpaceDN w:val="0"/>
        <w:adjustRightInd w:val="0"/>
        <w:spacing w:line="240" w:lineRule="auto"/>
        <w:ind w:left="901"/>
        <w:jc w:val="both"/>
        <w:rPr>
          <w:rFonts w:ascii="Verdana" w:hAnsi="Verdana" w:cs="Arial"/>
        </w:rPr>
      </w:pPr>
    </w:p>
    <w:p w14:paraId="7C3A4A51"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7831F3F9" w14:textId="77777777" w:rsidR="007C7EF4" w:rsidRPr="00CD459A" w:rsidRDefault="007C7EF4" w:rsidP="00AB3D96">
      <w:pPr>
        <w:pStyle w:val="Prrafodelista"/>
        <w:numPr>
          <w:ilvl w:val="0"/>
          <w:numId w:val="67"/>
        </w:numPr>
        <w:suppressLineNumbers/>
        <w:tabs>
          <w:tab w:val="left" w:pos="-720"/>
        </w:tabs>
        <w:spacing w:line="240" w:lineRule="auto"/>
        <w:jc w:val="both"/>
        <w:rPr>
          <w:rFonts w:ascii="Verdana" w:hAnsi="Verdana" w:cs="Arial"/>
        </w:rPr>
      </w:pPr>
      <w:r w:rsidRPr="00CD459A">
        <w:rPr>
          <w:rFonts w:ascii="Verdana" w:hAnsi="Verdana" w:cs="Arial"/>
        </w:rPr>
        <w:t xml:space="preserve">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 </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57CF1588" w14:textId="77777777" w:rsidTr="003B74CE">
        <w:tc>
          <w:tcPr>
            <w:tcW w:w="1984" w:type="dxa"/>
          </w:tcPr>
          <w:p w14:paraId="2F69844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7E03818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678E43E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554C80EC" w14:textId="77777777" w:rsidTr="003B74CE">
        <w:tc>
          <w:tcPr>
            <w:tcW w:w="1984" w:type="dxa"/>
          </w:tcPr>
          <w:p w14:paraId="3E79F9D8"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68729B7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3482" w:type="dxa"/>
          </w:tcPr>
          <w:p w14:paraId="0FC3602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541302</w:t>
            </w:r>
          </w:p>
        </w:tc>
      </w:tr>
      <w:tr w:rsidR="00CD459A" w:rsidRPr="00CD459A" w14:paraId="1C996013" w14:textId="77777777" w:rsidTr="003B74CE">
        <w:tc>
          <w:tcPr>
            <w:tcW w:w="1984" w:type="dxa"/>
          </w:tcPr>
          <w:p w14:paraId="72FAC5E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19865B6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3482" w:type="dxa"/>
          </w:tcPr>
          <w:p w14:paraId="526C377C"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PROYECTOS DE CIENCIA, TECNOLOGÍA E INNOVACIÓN</w:t>
            </w:r>
          </w:p>
        </w:tc>
      </w:tr>
    </w:tbl>
    <w:p w14:paraId="43076C14" w14:textId="77777777" w:rsidR="007C7EF4" w:rsidRPr="00CD459A" w:rsidRDefault="007C7EF4" w:rsidP="007C7EF4">
      <w:pPr>
        <w:widowControl w:val="0"/>
        <w:autoSpaceDE w:val="0"/>
        <w:autoSpaceDN w:val="0"/>
        <w:adjustRightInd w:val="0"/>
        <w:jc w:val="both"/>
        <w:rPr>
          <w:rFonts w:ascii="Verdana" w:hAnsi="Verdana" w:cs="Arial"/>
        </w:rPr>
      </w:pPr>
    </w:p>
    <w:p w14:paraId="0ECA176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44BFE0A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por el DNP para el Fondo de Ciencia Tecnología e Innovación durante la vigencia fiscal en curso, este fondo tiene como objeto incrementar la capacidad científica, tecnológica, de innovación y de competitividad de las regiones, mediante proyectos que contribuyan a la producción, uso, integración y apropiación del conocimiento en el aparato productivo y en la sociedad en general, incluidos proyectos relacionados con biotecnología y tecnologías de la información y las comunicaciones, contribuyendo al progreso social, al dinamismo económico, al crecimiento sostenible y una mayor prosperidad para toda la población. El valor que le corresponde a cada beneficio resulta de la aplicación del porcentaje del 10% señalado en el inciso cuarto del artículo 361 de la Constitución Política, al valor de los ingresos que se deben distribuir definidos por la Agencia Nacional de Hidrocarburos y la Agencia Nacional de Minería.</w:t>
      </w:r>
    </w:p>
    <w:p w14:paraId="101B736B" w14:textId="77777777" w:rsidR="007C7EF4" w:rsidRPr="00CD459A" w:rsidRDefault="007C7EF4" w:rsidP="007C7EF4">
      <w:pPr>
        <w:suppressLineNumbers/>
        <w:tabs>
          <w:tab w:val="left" w:pos="-720"/>
        </w:tabs>
        <w:ind w:left="284" w:hanging="284"/>
        <w:jc w:val="both"/>
        <w:rPr>
          <w:rFonts w:ascii="Verdana" w:hAnsi="Verdana" w:cs="Arial"/>
        </w:rPr>
      </w:pPr>
    </w:p>
    <w:p w14:paraId="08277B2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313F4CA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los beneficiarios del Fondo de Ciencia tecnología e Innovación, mediante la Instrucción de abono a cuenta.   </w:t>
      </w:r>
    </w:p>
    <w:p w14:paraId="646D2E3C" w14:textId="77777777" w:rsidR="007C7EF4" w:rsidRPr="00CD459A" w:rsidRDefault="007C7EF4" w:rsidP="007C7EF4">
      <w:pPr>
        <w:suppressLineNumbers/>
        <w:tabs>
          <w:tab w:val="left" w:pos="-720"/>
        </w:tabs>
        <w:jc w:val="both"/>
        <w:rPr>
          <w:rFonts w:ascii="Verdana" w:hAnsi="Verdana" w:cs="Arial"/>
        </w:rPr>
      </w:pPr>
    </w:p>
    <w:p w14:paraId="4B93A623"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3CE5B1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2E89CA17" w14:textId="77777777" w:rsidR="007C7EF4" w:rsidRPr="00CD459A" w:rsidRDefault="007C7EF4" w:rsidP="007C7EF4">
      <w:pPr>
        <w:suppressLineNumbers/>
        <w:tabs>
          <w:tab w:val="left" w:pos="-720"/>
        </w:tabs>
        <w:ind w:left="284" w:hanging="284"/>
        <w:jc w:val="both"/>
        <w:rPr>
          <w:rFonts w:ascii="Verdana" w:eastAsia="Calibri" w:hAnsi="Verdana" w:cs="Arial"/>
        </w:rPr>
      </w:pPr>
    </w:p>
    <w:p w14:paraId="771A9F6E"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2180BFC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al valor distribuido por el Departamento Nacional de Planeación, por concepto de fondo de ciencia tecnología e innovación. </w:t>
      </w:r>
    </w:p>
    <w:p w14:paraId="6348DA80" w14:textId="77777777" w:rsidR="007C7EF4" w:rsidRPr="00CD459A" w:rsidRDefault="007C7EF4" w:rsidP="007C7EF4">
      <w:pPr>
        <w:suppressLineNumbers/>
        <w:tabs>
          <w:tab w:val="left" w:pos="-720"/>
        </w:tabs>
        <w:jc w:val="both"/>
        <w:rPr>
          <w:rFonts w:ascii="Verdana" w:hAnsi="Verdana" w:cs="Arial"/>
        </w:rPr>
      </w:pPr>
    </w:p>
    <w:p w14:paraId="7CF351B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2299A43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el Fondo de Ciencia tecnología e Innovación durante el año en curso, para cada beneficiario, y su participación porcentual respecto al valor total de la subcuenta.</w:t>
      </w:r>
    </w:p>
    <w:p w14:paraId="7B3DD64D" w14:textId="77777777" w:rsidR="007C7EF4" w:rsidRPr="00CD459A" w:rsidRDefault="007C7EF4" w:rsidP="007C7EF4">
      <w:pPr>
        <w:suppressLineNumbers/>
        <w:tabs>
          <w:tab w:val="left" w:pos="-720"/>
        </w:tabs>
        <w:ind w:left="284" w:hanging="284"/>
        <w:jc w:val="both"/>
        <w:rPr>
          <w:rFonts w:ascii="Verdana" w:hAnsi="Verdana" w:cs="Arial"/>
        </w:rPr>
      </w:pPr>
    </w:p>
    <w:p w14:paraId="0E533FA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2ABD06D7" w14:textId="77777777" w:rsidR="007C7EF4" w:rsidRPr="00CD459A" w:rsidRDefault="007C7EF4" w:rsidP="007C7EF4">
      <w:pPr>
        <w:suppressLineNumbers/>
        <w:tabs>
          <w:tab w:val="left" w:pos="-720"/>
        </w:tabs>
        <w:ind w:left="284" w:hanging="284"/>
        <w:jc w:val="both"/>
        <w:rPr>
          <w:rFonts w:ascii="Verdana" w:hAnsi="Verdana" w:cs="Arial"/>
        </w:rPr>
      </w:pPr>
    </w:p>
    <w:p w14:paraId="30BC298B"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3828BE93" w14:textId="77777777" w:rsidR="007C7EF4" w:rsidRPr="00CD459A" w:rsidRDefault="007C7EF4" w:rsidP="00AB3D96">
      <w:pPr>
        <w:pStyle w:val="Prrafodelista"/>
        <w:widowControl w:val="0"/>
        <w:numPr>
          <w:ilvl w:val="0"/>
          <w:numId w:val="67"/>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del Fondo de Ciencia tecnología e Innovación, con crédito a la subcuenta 240316 – Transferencias Sistema General de Regalías. </w:t>
      </w:r>
    </w:p>
    <w:p w14:paraId="0E23DEB4" w14:textId="77777777" w:rsidR="007C7EF4" w:rsidRPr="00CD459A" w:rsidRDefault="007C7EF4" w:rsidP="007C7EF4">
      <w:pPr>
        <w:widowControl w:val="0"/>
        <w:autoSpaceDE w:val="0"/>
        <w:autoSpaceDN w:val="0"/>
        <w:adjustRightInd w:val="0"/>
        <w:jc w:val="both"/>
        <w:rPr>
          <w:rFonts w:ascii="Verdana" w:hAnsi="Verdana" w:cs="Arial"/>
        </w:rPr>
      </w:pPr>
    </w:p>
    <w:p w14:paraId="112355F1"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31A778B2" w14:textId="77777777" w:rsidR="007C7EF4" w:rsidRPr="00CD459A" w:rsidRDefault="007C7EF4" w:rsidP="00AB3D96">
      <w:pPr>
        <w:pStyle w:val="Prrafodelista"/>
        <w:numPr>
          <w:ilvl w:val="0"/>
          <w:numId w:val="67"/>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00CE2241" w14:textId="77777777" w:rsidR="007C7EF4" w:rsidRPr="00CD459A" w:rsidRDefault="007C7EF4" w:rsidP="007C7EF4">
      <w:pPr>
        <w:pStyle w:val="Prrafodelista"/>
        <w:suppressLineNumbers/>
        <w:tabs>
          <w:tab w:val="left" w:pos="-720"/>
        </w:tabs>
        <w:jc w:val="both"/>
        <w:rPr>
          <w:rFonts w:ascii="Verdana" w:hAnsi="Verdana" w:cs="Arial"/>
        </w:rPr>
      </w:pPr>
    </w:p>
    <w:p w14:paraId="7F04C611" w14:textId="77777777" w:rsidR="007C7EF4" w:rsidRPr="00CD459A" w:rsidRDefault="007C7EF4" w:rsidP="007C7EF4">
      <w:pPr>
        <w:pStyle w:val="Prrafodelista"/>
        <w:suppressLineNumbers/>
        <w:tabs>
          <w:tab w:val="left" w:pos="-720"/>
        </w:tabs>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5FE0FCAD" w14:textId="77777777" w:rsidTr="003B74CE">
        <w:tc>
          <w:tcPr>
            <w:tcW w:w="1984" w:type="dxa"/>
          </w:tcPr>
          <w:p w14:paraId="752F6BB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374351D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2CA8B97F"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2D0F5C49" w14:textId="77777777" w:rsidTr="003B74CE">
        <w:tc>
          <w:tcPr>
            <w:tcW w:w="1984" w:type="dxa"/>
          </w:tcPr>
          <w:p w14:paraId="554A53E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1F80F98B"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3482" w:type="dxa"/>
          </w:tcPr>
          <w:p w14:paraId="31F2075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541303</w:t>
            </w:r>
          </w:p>
        </w:tc>
      </w:tr>
      <w:tr w:rsidR="00CD459A" w:rsidRPr="00CD459A" w14:paraId="0188149E" w14:textId="77777777" w:rsidTr="003B74CE">
        <w:tc>
          <w:tcPr>
            <w:tcW w:w="1984" w:type="dxa"/>
          </w:tcPr>
          <w:p w14:paraId="4154164A"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51E7F07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3482" w:type="dxa"/>
          </w:tcPr>
          <w:p w14:paraId="4A001DE7"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PROYECTOS DE DESARROLLO REGIONAL</w:t>
            </w:r>
          </w:p>
        </w:tc>
      </w:tr>
    </w:tbl>
    <w:p w14:paraId="5C8BA1E0" w14:textId="77777777" w:rsidR="007C7EF4" w:rsidRPr="00CD459A" w:rsidRDefault="007C7EF4" w:rsidP="007C7EF4">
      <w:pPr>
        <w:widowControl w:val="0"/>
        <w:autoSpaceDE w:val="0"/>
        <w:autoSpaceDN w:val="0"/>
        <w:adjustRightInd w:val="0"/>
        <w:jc w:val="both"/>
        <w:rPr>
          <w:rFonts w:ascii="Verdana" w:hAnsi="Verdana" w:cs="Arial"/>
        </w:rPr>
      </w:pPr>
    </w:p>
    <w:p w14:paraId="73CDFC3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2021B83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por el DNP para el Fondo de Desarrollo Regional durante la vigencia fiscal en curso, este fondo tiene como objeto mejorar la competitividad de la economía, así como promover el desarrollo social, económico, institucional y ambiental de las entidades territoriales, mediante la financiación de proyectos de inversión de impacto regional, acordados entre el Gobierno Nacional y las entidades territoriales en el marco de los esquemas de asociación que se creen. El valor que le corresponde a cada beneficio resulta de la aplicación de los porcentajes señalados en el inciso cuarto del artículo 361 de la Constitución Política, al valor de los ingresos que se deben distribuir definidos por la Agencia Nacional de Hidrocarburos y la Agencia Nacional de Minería.</w:t>
      </w:r>
    </w:p>
    <w:p w14:paraId="48A56BD3" w14:textId="77777777" w:rsidR="007C7EF4" w:rsidRPr="00CD459A" w:rsidRDefault="007C7EF4" w:rsidP="007C7EF4">
      <w:pPr>
        <w:suppressLineNumbers/>
        <w:tabs>
          <w:tab w:val="left" w:pos="-720"/>
        </w:tabs>
        <w:ind w:left="284" w:hanging="284"/>
        <w:jc w:val="both"/>
        <w:rPr>
          <w:rFonts w:ascii="Verdana" w:hAnsi="Verdana" w:cs="Arial"/>
        </w:rPr>
      </w:pPr>
    </w:p>
    <w:p w14:paraId="0D2666E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1327A4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los beneficiarios del Fondo de Desarrollo Regional, mediante la Instrucción de abono a cuenta.   </w:t>
      </w:r>
    </w:p>
    <w:p w14:paraId="3889EAD5" w14:textId="77777777" w:rsidR="007C7EF4" w:rsidRPr="00CD459A" w:rsidRDefault="007C7EF4" w:rsidP="007C7EF4">
      <w:pPr>
        <w:suppressLineNumbers/>
        <w:tabs>
          <w:tab w:val="left" w:pos="-720"/>
        </w:tabs>
        <w:jc w:val="both"/>
        <w:rPr>
          <w:rFonts w:ascii="Verdana" w:hAnsi="Verdana" w:cs="Arial"/>
        </w:rPr>
      </w:pPr>
    </w:p>
    <w:p w14:paraId="1E02BCBB"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F5D672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1D4B034F" w14:textId="77777777" w:rsidR="007C7EF4" w:rsidRPr="00CD459A" w:rsidRDefault="007C7EF4" w:rsidP="007C7EF4">
      <w:pPr>
        <w:suppressLineNumbers/>
        <w:tabs>
          <w:tab w:val="left" w:pos="-720"/>
        </w:tabs>
        <w:ind w:left="284" w:hanging="284"/>
        <w:jc w:val="both"/>
        <w:rPr>
          <w:rFonts w:ascii="Verdana" w:eastAsia="Calibri" w:hAnsi="Verdana" w:cs="Arial"/>
        </w:rPr>
      </w:pPr>
    </w:p>
    <w:p w14:paraId="61CAB3C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2CB4E71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al valor distribuido por el Departamento Nacional de Planeación, por concepto de fondo de desarrollo Regional.</w:t>
      </w:r>
    </w:p>
    <w:p w14:paraId="33123BC4" w14:textId="77777777" w:rsidR="007C7EF4" w:rsidRPr="00CD459A" w:rsidRDefault="007C7EF4" w:rsidP="007C7EF4">
      <w:pPr>
        <w:suppressLineNumbers/>
        <w:tabs>
          <w:tab w:val="left" w:pos="-720"/>
        </w:tabs>
        <w:ind w:left="284" w:hanging="284"/>
        <w:jc w:val="both"/>
        <w:rPr>
          <w:rFonts w:ascii="Verdana" w:hAnsi="Verdana" w:cs="Arial"/>
        </w:rPr>
      </w:pPr>
    </w:p>
    <w:p w14:paraId="5D8BA2F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300C7BF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el Fondo de Desarrollo Regional durante el año en curso, para cada beneficiario, y su participación porcentual respecto al valor total de la subcuenta.</w:t>
      </w:r>
    </w:p>
    <w:p w14:paraId="69FBCE06" w14:textId="77777777" w:rsidR="007C7EF4" w:rsidRPr="00CD459A" w:rsidRDefault="007C7EF4" w:rsidP="007C7EF4">
      <w:pPr>
        <w:suppressLineNumbers/>
        <w:tabs>
          <w:tab w:val="left" w:pos="-720"/>
        </w:tabs>
        <w:jc w:val="both"/>
        <w:rPr>
          <w:rFonts w:ascii="Verdana" w:hAnsi="Verdana" w:cs="Arial"/>
        </w:rPr>
      </w:pPr>
    </w:p>
    <w:p w14:paraId="7C1BB79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E5ED58D" w14:textId="77777777" w:rsidR="007C7EF4" w:rsidRPr="00CD459A" w:rsidRDefault="007C7EF4" w:rsidP="007C7EF4">
      <w:pPr>
        <w:suppressLineNumbers/>
        <w:tabs>
          <w:tab w:val="left" w:pos="-720"/>
        </w:tabs>
        <w:ind w:left="284" w:hanging="284"/>
        <w:jc w:val="both"/>
        <w:rPr>
          <w:rFonts w:ascii="Verdana" w:hAnsi="Verdana" w:cs="Arial"/>
        </w:rPr>
      </w:pPr>
    </w:p>
    <w:p w14:paraId="273356F8"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3D5B84DF" w14:textId="77777777" w:rsidR="007C7EF4" w:rsidRDefault="007C7EF4" w:rsidP="00AB3D96">
      <w:pPr>
        <w:pStyle w:val="Prrafodelista"/>
        <w:widowControl w:val="0"/>
        <w:numPr>
          <w:ilvl w:val="0"/>
          <w:numId w:val="67"/>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del Fondo de Desarrollo Regional, con crédito a la subcuenta 240316 – Transferencias Sistema General de Regalías. </w:t>
      </w:r>
    </w:p>
    <w:p w14:paraId="43030278" w14:textId="77777777" w:rsidR="00DA3A85" w:rsidRPr="00CD459A" w:rsidRDefault="00DA3A85" w:rsidP="00DA3A85">
      <w:pPr>
        <w:pStyle w:val="Prrafodelista"/>
        <w:widowControl w:val="0"/>
        <w:autoSpaceDE w:val="0"/>
        <w:autoSpaceDN w:val="0"/>
        <w:adjustRightInd w:val="0"/>
        <w:spacing w:line="240" w:lineRule="auto"/>
        <w:ind w:left="901"/>
        <w:jc w:val="both"/>
        <w:rPr>
          <w:rFonts w:ascii="Verdana" w:hAnsi="Verdana" w:cs="Arial"/>
        </w:rPr>
      </w:pPr>
    </w:p>
    <w:p w14:paraId="7B053A32"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35809412" w14:textId="77777777" w:rsidR="007C7EF4" w:rsidRPr="00CD459A" w:rsidRDefault="007C7EF4" w:rsidP="00AB3D96">
      <w:pPr>
        <w:pStyle w:val="Prrafodelista"/>
        <w:numPr>
          <w:ilvl w:val="0"/>
          <w:numId w:val="67"/>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20BD4B83"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9"/>
        <w:gridCol w:w="3119"/>
        <w:gridCol w:w="4631"/>
      </w:tblGrid>
      <w:tr w:rsidR="00CD459A" w:rsidRPr="00CD459A" w14:paraId="2C0345E8" w14:textId="77777777" w:rsidTr="003B74CE">
        <w:tc>
          <w:tcPr>
            <w:tcW w:w="1129" w:type="dxa"/>
          </w:tcPr>
          <w:p w14:paraId="1906935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119" w:type="dxa"/>
          </w:tcPr>
          <w:p w14:paraId="2C4E632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631" w:type="dxa"/>
          </w:tcPr>
          <w:p w14:paraId="563E385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420ED0A5" w14:textId="77777777" w:rsidTr="003B74CE">
        <w:tc>
          <w:tcPr>
            <w:tcW w:w="1129" w:type="dxa"/>
          </w:tcPr>
          <w:p w14:paraId="149D9DE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119" w:type="dxa"/>
          </w:tcPr>
          <w:p w14:paraId="7DBEE7A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4631" w:type="dxa"/>
          </w:tcPr>
          <w:p w14:paraId="1FCACC5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541304</w:t>
            </w:r>
          </w:p>
        </w:tc>
      </w:tr>
      <w:tr w:rsidR="00CD459A" w:rsidRPr="00CD459A" w14:paraId="50F59701" w14:textId="77777777" w:rsidTr="003B74CE">
        <w:tc>
          <w:tcPr>
            <w:tcW w:w="1129" w:type="dxa"/>
          </w:tcPr>
          <w:p w14:paraId="4D67210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119" w:type="dxa"/>
          </w:tcPr>
          <w:p w14:paraId="086A261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4631" w:type="dxa"/>
          </w:tcPr>
          <w:p w14:paraId="6B44FEF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PROYECTOS DE DESARROLLO REGIONAL-COMPENSACIÓN</w:t>
            </w:r>
          </w:p>
        </w:tc>
      </w:tr>
    </w:tbl>
    <w:p w14:paraId="78AEDC66" w14:textId="77777777" w:rsidR="007C7EF4" w:rsidRPr="00CD459A" w:rsidRDefault="007C7EF4" w:rsidP="007C7EF4">
      <w:pPr>
        <w:widowControl w:val="0"/>
        <w:autoSpaceDE w:val="0"/>
        <w:autoSpaceDN w:val="0"/>
        <w:adjustRightInd w:val="0"/>
        <w:jc w:val="both"/>
        <w:rPr>
          <w:rFonts w:ascii="Verdana" w:hAnsi="Verdana" w:cs="Arial"/>
        </w:rPr>
      </w:pPr>
    </w:p>
    <w:p w14:paraId="674A297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1D7EE69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por el DNP para el Fondo de Compensación Regional durante la vigencia fiscal en curso, este fondo tiene como objeto financiar los proyectos de impacto regional o local de desarrollo en las entidades territoriales más pobres del país, acordados entre el Gobierno Nacional y las entidades territoriales, de acuerdo con los criterios señalados en el inciso noveno del artículo 361 de la Constitución. El valor que le corresponde a cada beneficio resulta de la aplicación de los porcentajes señalados en el inciso cuarto del artículo 361 de la Constitución Política, al valor de los ingresos que se deben distribuir definidos por la Agencia Nacional de Hidrocarburos y la Agencia Nacional de Minería.</w:t>
      </w:r>
    </w:p>
    <w:p w14:paraId="286179D7" w14:textId="77777777" w:rsidR="007C7EF4" w:rsidRPr="00CD459A" w:rsidRDefault="007C7EF4" w:rsidP="007C7EF4">
      <w:pPr>
        <w:suppressLineNumbers/>
        <w:tabs>
          <w:tab w:val="left" w:pos="-720"/>
        </w:tabs>
        <w:ind w:left="284" w:hanging="284"/>
        <w:jc w:val="both"/>
        <w:rPr>
          <w:rFonts w:ascii="Verdana" w:hAnsi="Verdana" w:cs="Arial"/>
        </w:rPr>
      </w:pPr>
    </w:p>
    <w:p w14:paraId="3E8BE30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65B4894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los beneficiarios del Fondo de Compensación Regional, mediante la Instrucción de abono a cuenta.   </w:t>
      </w:r>
    </w:p>
    <w:p w14:paraId="5A025D33" w14:textId="77777777" w:rsidR="007C7EF4" w:rsidRPr="00CD459A" w:rsidRDefault="007C7EF4" w:rsidP="007C7EF4">
      <w:pPr>
        <w:suppressLineNumbers/>
        <w:tabs>
          <w:tab w:val="left" w:pos="-720"/>
        </w:tabs>
        <w:jc w:val="both"/>
        <w:rPr>
          <w:rFonts w:ascii="Verdana" w:hAnsi="Verdana" w:cs="Arial"/>
        </w:rPr>
      </w:pPr>
    </w:p>
    <w:p w14:paraId="27BE5E8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350ACBE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7A3CDF16" w14:textId="77777777" w:rsidR="007C7EF4" w:rsidRPr="00CD459A" w:rsidRDefault="007C7EF4" w:rsidP="007C7EF4">
      <w:pPr>
        <w:suppressLineNumbers/>
        <w:tabs>
          <w:tab w:val="left" w:pos="-720"/>
        </w:tabs>
        <w:ind w:left="284" w:hanging="284"/>
        <w:jc w:val="both"/>
        <w:rPr>
          <w:rFonts w:ascii="Verdana" w:eastAsia="Calibri" w:hAnsi="Verdana" w:cs="Arial"/>
        </w:rPr>
      </w:pPr>
    </w:p>
    <w:p w14:paraId="0C475977"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3346502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al valor distribuido por el Departamento Nacional de Planeación, por concepto de fondo de Compensación Regional.</w:t>
      </w:r>
    </w:p>
    <w:p w14:paraId="2B7DC35B" w14:textId="77777777" w:rsidR="007C7EF4" w:rsidRPr="00CD459A" w:rsidRDefault="007C7EF4" w:rsidP="007C7EF4">
      <w:pPr>
        <w:suppressLineNumbers/>
        <w:tabs>
          <w:tab w:val="left" w:pos="-720"/>
        </w:tabs>
        <w:jc w:val="both"/>
        <w:rPr>
          <w:rFonts w:ascii="Verdana" w:hAnsi="Verdana" w:cs="Arial"/>
        </w:rPr>
      </w:pPr>
    </w:p>
    <w:p w14:paraId="2A37394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71CEBD2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el Fondo de Compensación Regional durante el año en curso, para los beneficiarios con valores más representativos, y su participación porcentual respecto al valor total de la subcuenta.</w:t>
      </w:r>
    </w:p>
    <w:p w14:paraId="233C1D39" w14:textId="77777777" w:rsidR="007C7EF4" w:rsidRPr="00CD459A" w:rsidRDefault="007C7EF4" w:rsidP="007C7EF4">
      <w:pPr>
        <w:suppressLineNumbers/>
        <w:tabs>
          <w:tab w:val="left" w:pos="-720"/>
        </w:tabs>
        <w:jc w:val="both"/>
        <w:rPr>
          <w:rFonts w:ascii="Verdana" w:hAnsi="Verdana" w:cs="Arial"/>
        </w:rPr>
      </w:pPr>
    </w:p>
    <w:p w14:paraId="5439DE4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B107FEA" w14:textId="77777777" w:rsidR="007C7EF4" w:rsidRPr="00CD459A" w:rsidRDefault="007C7EF4" w:rsidP="007C7EF4">
      <w:pPr>
        <w:suppressLineNumbers/>
        <w:tabs>
          <w:tab w:val="left" w:pos="-720"/>
        </w:tabs>
        <w:ind w:left="284" w:hanging="284"/>
        <w:jc w:val="both"/>
        <w:rPr>
          <w:rFonts w:ascii="Verdana" w:hAnsi="Verdana" w:cs="Arial"/>
        </w:rPr>
      </w:pPr>
    </w:p>
    <w:p w14:paraId="53080A19"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767855F8" w14:textId="77777777" w:rsidR="007C7EF4" w:rsidRPr="00CD459A" w:rsidRDefault="007C7EF4" w:rsidP="00AB3D96">
      <w:pPr>
        <w:pStyle w:val="Prrafodelista"/>
        <w:widowControl w:val="0"/>
        <w:numPr>
          <w:ilvl w:val="0"/>
          <w:numId w:val="67"/>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del Fondo de Compensación Regional, con crédito a la subcuenta 240316 – Transferencias Sistema General de Regalías. </w:t>
      </w:r>
    </w:p>
    <w:p w14:paraId="0186F2B9" w14:textId="77777777" w:rsidR="007C7EF4" w:rsidRPr="00CD459A" w:rsidRDefault="007C7EF4" w:rsidP="007C7EF4">
      <w:pPr>
        <w:widowControl w:val="0"/>
        <w:autoSpaceDE w:val="0"/>
        <w:autoSpaceDN w:val="0"/>
        <w:adjustRightInd w:val="0"/>
        <w:jc w:val="both"/>
        <w:rPr>
          <w:rFonts w:ascii="Verdana" w:hAnsi="Verdana" w:cs="Arial"/>
        </w:rPr>
      </w:pPr>
    </w:p>
    <w:p w14:paraId="311A5EC7"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72C786F7" w14:textId="77777777" w:rsidR="007C7EF4" w:rsidRPr="00CD459A" w:rsidRDefault="007C7EF4" w:rsidP="00AB3D96">
      <w:pPr>
        <w:pStyle w:val="Prrafodelista"/>
        <w:numPr>
          <w:ilvl w:val="0"/>
          <w:numId w:val="67"/>
        </w:numPr>
        <w:suppressLineNumbers/>
        <w:tabs>
          <w:tab w:val="left" w:pos="-720"/>
        </w:tabs>
        <w:spacing w:line="240" w:lineRule="auto"/>
        <w:jc w:val="both"/>
        <w:rPr>
          <w:rFonts w:ascii="Verdana" w:hAnsi="Verdana" w:cs="Arial"/>
        </w:rPr>
      </w:pPr>
      <w:r w:rsidRPr="00CD459A">
        <w:rPr>
          <w:rFonts w:ascii="Verdana" w:hAnsi="Verdana" w:cs="Arial"/>
        </w:rPr>
        <w:t>1-El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6B91B71A" w14:textId="77777777" w:rsidR="007C7EF4" w:rsidRPr="00CD459A" w:rsidRDefault="007C7EF4" w:rsidP="007C7EF4">
      <w:pPr>
        <w:widowControl w:val="0"/>
        <w:autoSpaceDE w:val="0"/>
        <w:autoSpaceDN w:val="0"/>
        <w:adjustRightInd w:val="0"/>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65DE322B" w14:textId="77777777" w:rsidTr="003B74CE">
        <w:tc>
          <w:tcPr>
            <w:tcW w:w="1984" w:type="dxa"/>
          </w:tcPr>
          <w:p w14:paraId="502A469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00E23F1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0299EB2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0EF75394" w14:textId="77777777" w:rsidTr="003B74CE">
        <w:tc>
          <w:tcPr>
            <w:tcW w:w="1984" w:type="dxa"/>
          </w:tcPr>
          <w:p w14:paraId="1837978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27BC5FC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3482" w:type="dxa"/>
          </w:tcPr>
          <w:p w14:paraId="00B3DB79"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541305</w:t>
            </w:r>
          </w:p>
        </w:tc>
      </w:tr>
      <w:tr w:rsidR="00CD459A" w:rsidRPr="00CD459A" w14:paraId="5AEFBA93" w14:textId="77777777" w:rsidTr="003B74CE">
        <w:tc>
          <w:tcPr>
            <w:tcW w:w="1984" w:type="dxa"/>
          </w:tcPr>
          <w:p w14:paraId="414E051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6926552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3482" w:type="dxa"/>
          </w:tcPr>
          <w:p w14:paraId="7E9CA84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AHORRO PENSIONAL TERRITORIAL</w:t>
            </w:r>
          </w:p>
        </w:tc>
      </w:tr>
    </w:tbl>
    <w:p w14:paraId="39D58812" w14:textId="77777777" w:rsidR="007C7EF4" w:rsidRPr="00CD459A" w:rsidRDefault="007C7EF4" w:rsidP="007C7EF4">
      <w:pPr>
        <w:widowControl w:val="0"/>
        <w:autoSpaceDE w:val="0"/>
        <w:autoSpaceDN w:val="0"/>
        <w:adjustRightInd w:val="0"/>
        <w:jc w:val="both"/>
        <w:rPr>
          <w:rFonts w:ascii="Verdana" w:hAnsi="Verdana" w:cs="Arial"/>
        </w:rPr>
      </w:pPr>
    </w:p>
    <w:p w14:paraId="4FD1FF3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4639CC28" w14:textId="77777777" w:rsidR="007C7EF4" w:rsidRDefault="007C7EF4" w:rsidP="007C7EF4">
      <w:pPr>
        <w:pStyle w:val="estilo1"/>
        <w:spacing w:line="240" w:lineRule="auto"/>
        <w:ind w:left="0"/>
        <w:jc w:val="both"/>
        <w:rPr>
          <w:rFonts w:cs="Arial"/>
          <w:color w:val="auto"/>
          <w:sz w:val="22"/>
          <w:szCs w:val="22"/>
          <w:lang w:val="es-ES" w:eastAsia="es-ES"/>
        </w:rPr>
      </w:pPr>
      <w:r w:rsidRPr="00CD459A">
        <w:rPr>
          <w:rFonts w:cs="Arial"/>
          <w:color w:val="auto"/>
          <w:sz w:val="22"/>
          <w:szCs w:val="22"/>
          <w:lang w:val="es-ES" w:eastAsia="es-ES"/>
        </w:rPr>
        <w:t>En esta cuenta se muestra el valor distribuido por el DNP para Ahorro pensional Territorial, será manejado a través del Fondo Nacional de Pensiones de las Entidades Territoriales (Fonpet), cuyo objetivo es aprovisionar los recursos necesarios para cubrir el pasivo pensional. Los recursos de este fondo provienen de las Entidades Territoriales y de la Nación y son administrados por el Ministerio de Hacienda por medio de patrimonios autónomos manejados por fiduciarias y fondos de pensiones. El valor que le corresponde a cada beneficio resulta de la aplicación de los porcentajes señalados en el inciso cuarto del artículo 361 de la Constitución Política, al valor de los ingresos que se deben distribuir definidos por la Agencia Nacional de Hidrocarburos y la Agencia Nacional de Minería.</w:t>
      </w:r>
    </w:p>
    <w:p w14:paraId="29BE8F7C" w14:textId="77777777" w:rsidR="00DA3A85" w:rsidRPr="00CD459A" w:rsidRDefault="00DA3A85" w:rsidP="007C7EF4">
      <w:pPr>
        <w:pStyle w:val="estilo1"/>
        <w:spacing w:line="240" w:lineRule="auto"/>
        <w:ind w:left="0"/>
        <w:jc w:val="both"/>
        <w:rPr>
          <w:rFonts w:cs="Arial"/>
          <w:color w:val="auto"/>
          <w:sz w:val="22"/>
          <w:szCs w:val="22"/>
          <w:lang w:val="es-ES" w:eastAsia="es-ES"/>
        </w:rPr>
      </w:pPr>
    </w:p>
    <w:p w14:paraId="325A042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59C9D56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los beneficiarios del Ahorro pensional Territorial, mediante la Instrucción de abono a cuenta.   </w:t>
      </w:r>
    </w:p>
    <w:p w14:paraId="2F0C543E" w14:textId="77777777" w:rsidR="007C7EF4" w:rsidRPr="00CD459A" w:rsidRDefault="007C7EF4" w:rsidP="007C7EF4">
      <w:pPr>
        <w:suppressLineNumbers/>
        <w:tabs>
          <w:tab w:val="left" w:pos="-720"/>
        </w:tabs>
        <w:jc w:val="both"/>
        <w:rPr>
          <w:rFonts w:ascii="Verdana" w:hAnsi="Verdana" w:cs="Arial"/>
        </w:rPr>
      </w:pPr>
    </w:p>
    <w:p w14:paraId="07088C1E"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489E761D"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022610FA" w14:textId="77777777" w:rsidR="007C7EF4" w:rsidRPr="00CD459A" w:rsidRDefault="007C7EF4" w:rsidP="007C7EF4">
      <w:pPr>
        <w:suppressLineNumbers/>
        <w:tabs>
          <w:tab w:val="left" w:pos="-720"/>
        </w:tabs>
        <w:ind w:left="284" w:hanging="284"/>
        <w:jc w:val="both"/>
        <w:rPr>
          <w:rFonts w:ascii="Verdana" w:eastAsia="Calibri" w:hAnsi="Verdana" w:cs="Arial"/>
        </w:rPr>
      </w:pPr>
    </w:p>
    <w:p w14:paraId="09660384"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3739261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al valor distribuido por el Departamento Nacional de Planeación, por concepto de Ahorro Pensional Territorial. </w:t>
      </w:r>
    </w:p>
    <w:p w14:paraId="26772459" w14:textId="77777777" w:rsidR="007C7EF4" w:rsidRPr="00CD459A" w:rsidRDefault="007C7EF4" w:rsidP="007C7EF4">
      <w:pPr>
        <w:suppressLineNumbers/>
        <w:tabs>
          <w:tab w:val="left" w:pos="-720"/>
        </w:tabs>
        <w:ind w:left="284" w:hanging="284"/>
        <w:jc w:val="both"/>
        <w:rPr>
          <w:rFonts w:ascii="Verdana" w:hAnsi="Verdana" w:cs="Arial"/>
        </w:rPr>
      </w:pPr>
    </w:p>
    <w:p w14:paraId="43BA405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83576F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ahorro Pensional Territorial durante el año en curso, para los beneficiarios con valores más representativos, y su participación porcentual respecto al valor total de la subcuenta.</w:t>
      </w:r>
    </w:p>
    <w:p w14:paraId="4622F61E" w14:textId="77777777" w:rsidR="007C7EF4" w:rsidRPr="00CD459A" w:rsidRDefault="007C7EF4" w:rsidP="007C7EF4">
      <w:pPr>
        <w:suppressLineNumbers/>
        <w:tabs>
          <w:tab w:val="left" w:pos="-720"/>
        </w:tabs>
        <w:jc w:val="both"/>
        <w:rPr>
          <w:rFonts w:ascii="Verdana" w:hAnsi="Verdana" w:cs="Arial"/>
        </w:rPr>
      </w:pPr>
    </w:p>
    <w:p w14:paraId="4648C2C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70660D82" w14:textId="77777777" w:rsidR="007C7EF4" w:rsidRPr="00CD459A" w:rsidRDefault="007C7EF4" w:rsidP="007C7EF4">
      <w:pPr>
        <w:suppressLineNumbers/>
        <w:tabs>
          <w:tab w:val="left" w:pos="-720"/>
        </w:tabs>
        <w:ind w:left="284" w:hanging="284"/>
        <w:jc w:val="both"/>
        <w:rPr>
          <w:rFonts w:ascii="Verdana" w:hAnsi="Verdana" w:cs="Arial"/>
        </w:rPr>
      </w:pPr>
    </w:p>
    <w:p w14:paraId="162128AB"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5C84BC26" w14:textId="77777777" w:rsidR="007C7EF4" w:rsidRPr="00CD459A" w:rsidRDefault="007C7EF4" w:rsidP="00AB3D96">
      <w:pPr>
        <w:pStyle w:val="Prrafodelista"/>
        <w:widowControl w:val="0"/>
        <w:numPr>
          <w:ilvl w:val="0"/>
          <w:numId w:val="67"/>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Ahorro Pensional Territorial, con crédito a la subcuenta 240316 – Transferencias Sistema General de Regalías. </w:t>
      </w:r>
    </w:p>
    <w:p w14:paraId="6B32D5B1" w14:textId="77777777" w:rsidR="007C7EF4" w:rsidRPr="00CD459A" w:rsidRDefault="007C7EF4" w:rsidP="007C7EF4">
      <w:pPr>
        <w:widowControl w:val="0"/>
        <w:autoSpaceDE w:val="0"/>
        <w:autoSpaceDN w:val="0"/>
        <w:adjustRightInd w:val="0"/>
        <w:jc w:val="both"/>
        <w:rPr>
          <w:rFonts w:ascii="Verdana" w:hAnsi="Verdana" w:cs="Arial"/>
        </w:rPr>
      </w:pPr>
    </w:p>
    <w:p w14:paraId="183CE9FA"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49E3348D" w14:textId="77777777" w:rsidR="007C7EF4" w:rsidRPr="00CD459A" w:rsidRDefault="007C7EF4" w:rsidP="00AB3D96">
      <w:pPr>
        <w:pStyle w:val="Prrafodelista"/>
        <w:numPr>
          <w:ilvl w:val="0"/>
          <w:numId w:val="68"/>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2C63DFF6"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2268"/>
        <w:gridCol w:w="5623"/>
      </w:tblGrid>
      <w:tr w:rsidR="00CD459A" w:rsidRPr="00CD459A" w14:paraId="4626F330" w14:textId="77777777" w:rsidTr="003B74CE">
        <w:tc>
          <w:tcPr>
            <w:tcW w:w="988" w:type="dxa"/>
          </w:tcPr>
          <w:p w14:paraId="0E93B8F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268" w:type="dxa"/>
          </w:tcPr>
          <w:p w14:paraId="542A772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623" w:type="dxa"/>
          </w:tcPr>
          <w:p w14:paraId="7C28D95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4146A344" w14:textId="77777777" w:rsidTr="003B74CE">
        <w:tc>
          <w:tcPr>
            <w:tcW w:w="988" w:type="dxa"/>
          </w:tcPr>
          <w:p w14:paraId="5F4C59C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2268" w:type="dxa"/>
          </w:tcPr>
          <w:p w14:paraId="0F1CB28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5623" w:type="dxa"/>
          </w:tcPr>
          <w:p w14:paraId="5AF9EEAF"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541306</w:t>
            </w:r>
          </w:p>
        </w:tc>
      </w:tr>
      <w:tr w:rsidR="00CD459A" w:rsidRPr="00CD459A" w14:paraId="0D36628B" w14:textId="77777777" w:rsidTr="003B74CE">
        <w:tc>
          <w:tcPr>
            <w:tcW w:w="988" w:type="dxa"/>
          </w:tcPr>
          <w:p w14:paraId="4DF22C9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2268" w:type="dxa"/>
          </w:tcPr>
          <w:p w14:paraId="5EA4676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5623" w:type="dxa"/>
          </w:tcPr>
          <w:p w14:paraId="641ED09F"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PROYECTOS DE INVERSIÓN DE LOS MUNICIPIOS RIBEREÑOS DEL RÍO GRANDE DE LA MAGDALENA Y CANAL DEL DIQUE</w:t>
            </w:r>
          </w:p>
        </w:tc>
      </w:tr>
    </w:tbl>
    <w:p w14:paraId="7A6F2EDB" w14:textId="77777777" w:rsidR="007C7EF4" w:rsidRPr="00CD459A" w:rsidRDefault="007C7EF4" w:rsidP="007C7EF4">
      <w:pPr>
        <w:widowControl w:val="0"/>
        <w:autoSpaceDE w:val="0"/>
        <w:autoSpaceDN w:val="0"/>
        <w:adjustRightInd w:val="0"/>
        <w:jc w:val="both"/>
        <w:rPr>
          <w:rFonts w:ascii="Verdana" w:hAnsi="Verdana" w:cs="Arial"/>
        </w:rPr>
      </w:pPr>
    </w:p>
    <w:p w14:paraId="166588E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06A101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se muestra el valor distribuido por el DNP para </w:t>
      </w:r>
      <w:r w:rsidRPr="00CD459A">
        <w:rPr>
          <w:rFonts w:ascii="Verdana" w:hAnsi="Verdana" w:cs="Arial"/>
          <w:bCs/>
        </w:rPr>
        <w:t>para proyectos de inversión de los municipios ribereños del río grande de la Magdalena y canal del dique</w:t>
      </w:r>
      <w:r w:rsidRPr="00CD459A">
        <w:rPr>
          <w:rFonts w:ascii="Verdana" w:hAnsi="Verdana" w:cs="Arial"/>
        </w:rPr>
        <w:t xml:space="preserve"> durante la vigencia fiscal en curso. En desarrollo del artículo 331 de la Constitución Política, se asignará el 0.5% de los ingresos del Sistema General de Regalías para proyectos de inversión de los municipios ribereños del Río Grande de la Magdalena, incluidos, los del Canal del Dique. Estos recursos serán canalizados a través de la Corporación Autónoma Regional del Río Grande de la Magdalena.</w:t>
      </w:r>
    </w:p>
    <w:p w14:paraId="2FF7C13C" w14:textId="77777777" w:rsidR="007C7EF4" w:rsidRPr="00CD459A" w:rsidRDefault="007C7EF4" w:rsidP="007C7EF4">
      <w:pPr>
        <w:suppressLineNumbers/>
        <w:tabs>
          <w:tab w:val="left" w:pos="-720"/>
        </w:tabs>
        <w:ind w:left="284" w:hanging="284"/>
        <w:jc w:val="both"/>
        <w:rPr>
          <w:rFonts w:ascii="Verdana" w:hAnsi="Verdana" w:cs="Arial"/>
        </w:rPr>
      </w:pPr>
    </w:p>
    <w:p w14:paraId="4EBCD8E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7BA4EC4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la Corporación Autónoma Regional del Río Grande de la Magdalena, mediante la Instrucción de abono a cuenta.   </w:t>
      </w:r>
    </w:p>
    <w:p w14:paraId="010A6FC4" w14:textId="77777777" w:rsidR="007C7EF4" w:rsidRPr="00CD459A" w:rsidRDefault="007C7EF4" w:rsidP="007C7EF4">
      <w:pPr>
        <w:suppressLineNumbers/>
        <w:tabs>
          <w:tab w:val="left" w:pos="-720"/>
        </w:tabs>
        <w:jc w:val="both"/>
        <w:rPr>
          <w:rFonts w:ascii="Verdana" w:hAnsi="Verdana" w:cs="Arial"/>
        </w:rPr>
      </w:pPr>
    </w:p>
    <w:p w14:paraId="086E566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849824C"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17187AC9" w14:textId="77777777" w:rsidR="007C7EF4" w:rsidRPr="00CD459A" w:rsidRDefault="007C7EF4" w:rsidP="007C7EF4">
      <w:pPr>
        <w:suppressLineNumbers/>
        <w:tabs>
          <w:tab w:val="left" w:pos="-720"/>
        </w:tabs>
        <w:ind w:left="284" w:hanging="284"/>
        <w:jc w:val="both"/>
        <w:rPr>
          <w:rFonts w:ascii="Verdana" w:eastAsia="Calibri" w:hAnsi="Verdana" w:cs="Arial"/>
        </w:rPr>
      </w:pPr>
    </w:p>
    <w:p w14:paraId="212B32A9"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5A6324E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al valor distribuido por el Departamento Nacional de Planeación, por concepto de </w:t>
      </w:r>
      <w:r w:rsidRPr="00CD459A">
        <w:rPr>
          <w:rFonts w:ascii="Verdana" w:hAnsi="Verdana" w:cs="Arial"/>
          <w:bCs/>
        </w:rPr>
        <w:t>proyectos de inversión de los municipios ribereños del río grande de la magdalena y canal del dique</w:t>
      </w:r>
      <w:r w:rsidRPr="00CD459A">
        <w:rPr>
          <w:rFonts w:ascii="Verdana" w:hAnsi="Verdana" w:cs="Arial"/>
        </w:rPr>
        <w:t xml:space="preserve">. </w:t>
      </w:r>
    </w:p>
    <w:p w14:paraId="288C6068" w14:textId="77777777" w:rsidR="007C7EF4" w:rsidRPr="00CD459A" w:rsidRDefault="007C7EF4" w:rsidP="007C7EF4">
      <w:pPr>
        <w:suppressLineNumbers/>
        <w:tabs>
          <w:tab w:val="left" w:pos="-720"/>
        </w:tabs>
        <w:ind w:left="284" w:hanging="284"/>
        <w:jc w:val="both"/>
        <w:rPr>
          <w:rFonts w:ascii="Verdana" w:hAnsi="Verdana" w:cs="Arial"/>
        </w:rPr>
      </w:pPr>
    </w:p>
    <w:p w14:paraId="2C5B342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7EFDA5D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la Corporación Autónoma Regional del Río Grande de la Magdalena.</w:t>
      </w:r>
    </w:p>
    <w:p w14:paraId="63D0074A" w14:textId="77777777" w:rsidR="007C7EF4" w:rsidRPr="00CD459A" w:rsidRDefault="007C7EF4" w:rsidP="007C7EF4">
      <w:pPr>
        <w:suppressLineNumbers/>
        <w:tabs>
          <w:tab w:val="left" w:pos="-720"/>
        </w:tabs>
        <w:jc w:val="both"/>
        <w:rPr>
          <w:rFonts w:ascii="Verdana" w:hAnsi="Verdana" w:cs="Arial"/>
        </w:rPr>
      </w:pPr>
    </w:p>
    <w:p w14:paraId="3EB4882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2ED8646A" w14:textId="77777777" w:rsidR="007C7EF4" w:rsidRPr="00CD459A" w:rsidRDefault="007C7EF4" w:rsidP="007C7EF4">
      <w:pPr>
        <w:suppressLineNumbers/>
        <w:tabs>
          <w:tab w:val="left" w:pos="-720"/>
        </w:tabs>
        <w:ind w:left="284" w:hanging="284"/>
        <w:jc w:val="both"/>
        <w:rPr>
          <w:rFonts w:ascii="Verdana" w:hAnsi="Verdana" w:cs="Arial"/>
        </w:rPr>
      </w:pPr>
    </w:p>
    <w:p w14:paraId="3E90EFFA"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676066FC" w14:textId="77777777" w:rsidR="007C7EF4" w:rsidRPr="00CD459A" w:rsidRDefault="007C7EF4" w:rsidP="00AB3D96">
      <w:pPr>
        <w:pStyle w:val="Prrafodelista"/>
        <w:widowControl w:val="0"/>
        <w:numPr>
          <w:ilvl w:val="0"/>
          <w:numId w:val="68"/>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la Corporación Autónoma Regional del Río Grande de la Magdalena, con crédito a la subcuenta 240316 – Transferencias Sistema General de Regalías. </w:t>
      </w:r>
    </w:p>
    <w:p w14:paraId="785BBDBD" w14:textId="77777777" w:rsidR="007C7EF4" w:rsidRPr="00CD459A" w:rsidRDefault="007C7EF4" w:rsidP="007C7EF4">
      <w:pPr>
        <w:widowControl w:val="0"/>
        <w:autoSpaceDE w:val="0"/>
        <w:autoSpaceDN w:val="0"/>
        <w:adjustRightInd w:val="0"/>
        <w:jc w:val="both"/>
        <w:rPr>
          <w:rFonts w:ascii="Verdana" w:hAnsi="Verdana" w:cs="Arial"/>
        </w:rPr>
      </w:pPr>
    </w:p>
    <w:p w14:paraId="728B06F3"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5C818E28" w14:textId="77777777" w:rsidR="007C7EF4" w:rsidRPr="00CD459A" w:rsidRDefault="007C7EF4" w:rsidP="00AB3D96">
      <w:pPr>
        <w:pStyle w:val="Prrafodelista"/>
        <w:numPr>
          <w:ilvl w:val="0"/>
          <w:numId w:val="68"/>
        </w:numPr>
        <w:suppressLineNumbers/>
        <w:tabs>
          <w:tab w:val="left" w:pos="-720"/>
        </w:tabs>
        <w:spacing w:line="240" w:lineRule="auto"/>
        <w:jc w:val="both"/>
        <w:rPr>
          <w:rFonts w:ascii="Verdana" w:hAnsi="Verdana" w:cs="Arial"/>
        </w:rPr>
      </w:pPr>
      <w:r w:rsidRPr="00CD459A">
        <w:rPr>
          <w:rFonts w:ascii="Verdana" w:hAnsi="Verdana" w:cs="Arial"/>
        </w:rPr>
        <w:t>1-El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713776AF" w14:textId="77777777" w:rsidR="007C7EF4" w:rsidRPr="00CD459A" w:rsidRDefault="007C7EF4" w:rsidP="007C7EF4">
      <w:pPr>
        <w:suppressLineNumbers/>
        <w:tabs>
          <w:tab w:val="left" w:pos="-720"/>
        </w:tabs>
        <w:ind w:left="284" w:hanging="284"/>
        <w:jc w:val="both"/>
        <w:rPr>
          <w:rFonts w:ascii="Verdana" w:hAnsi="Verdana" w:cs="Arial"/>
        </w:rPr>
      </w:pPr>
    </w:p>
    <w:p w14:paraId="77D115D3"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9"/>
        <w:gridCol w:w="2410"/>
        <w:gridCol w:w="5340"/>
      </w:tblGrid>
      <w:tr w:rsidR="00CD459A" w:rsidRPr="00CD459A" w14:paraId="5C36A3A9" w14:textId="77777777" w:rsidTr="003B74CE">
        <w:tc>
          <w:tcPr>
            <w:tcW w:w="1129" w:type="dxa"/>
          </w:tcPr>
          <w:p w14:paraId="2B3F426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410" w:type="dxa"/>
          </w:tcPr>
          <w:p w14:paraId="34E341E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340" w:type="dxa"/>
          </w:tcPr>
          <w:p w14:paraId="0D644EF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5E7EB6E9" w14:textId="77777777" w:rsidTr="003B74CE">
        <w:tc>
          <w:tcPr>
            <w:tcW w:w="1129" w:type="dxa"/>
          </w:tcPr>
          <w:p w14:paraId="3731783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2410" w:type="dxa"/>
          </w:tcPr>
          <w:p w14:paraId="7FDEA0E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5340" w:type="dxa"/>
          </w:tcPr>
          <w:p w14:paraId="1AD0FCCB"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541307</w:t>
            </w:r>
          </w:p>
        </w:tc>
      </w:tr>
      <w:tr w:rsidR="00CD459A" w:rsidRPr="00CD459A" w14:paraId="224544CC" w14:textId="77777777" w:rsidTr="003B74CE">
        <w:tc>
          <w:tcPr>
            <w:tcW w:w="1129" w:type="dxa"/>
          </w:tcPr>
          <w:p w14:paraId="3E3BE73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2410" w:type="dxa"/>
          </w:tcPr>
          <w:p w14:paraId="1B219893"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5340" w:type="dxa"/>
          </w:tcPr>
          <w:p w14:paraId="72E6FB5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FISCALIZACIÓN DEL SISTEMA GENERAL DE REGALÍAS</w:t>
            </w:r>
          </w:p>
        </w:tc>
      </w:tr>
    </w:tbl>
    <w:p w14:paraId="566D1A41" w14:textId="77777777" w:rsidR="007C7EF4" w:rsidRPr="00CD459A" w:rsidRDefault="007C7EF4" w:rsidP="007C7EF4">
      <w:pPr>
        <w:widowControl w:val="0"/>
        <w:autoSpaceDE w:val="0"/>
        <w:autoSpaceDN w:val="0"/>
        <w:adjustRightInd w:val="0"/>
        <w:jc w:val="both"/>
        <w:rPr>
          <w:rFonts w:ascii="Verdana" w:hAnsi="Verdana" w:cs="Arial"/>
        </w:rPr>
      </w:pPr>
    </w:p>
    <w:p w14:paraId="329508C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05E5E3F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por el DNP para fiscalización del sistema general de regalías durante la vigencia fiscal en curso. Se entiende por fiscalización el conjunto de actividades y procedimientos que se llevan a cabo para garantizar el cumplimiento de las normas y de los contratos de exploración y explotación de recursos naturales no renovables, la determinación efectiva de los volúmenes de producción y la aplicación de las mejores prácticas de exploración y producción, teniendo en cuenta los aspectos técnicos, operativos y ambientales, como base determinante para la adecuada determinación y recaudo de regalías y compensaciones y el funcionamiento del Sistema General de Regalías. El porcentaje destinado a la fiscalización de la exploración y explotación de los yacimientos, y al conocimiento y cartografía geológica del subsuelo, será administrado en la forma señalada por el Ministerio de Minas y Energía, directamente, o a través de las entidades que este designe.</w:t>
      </w:r>
    </w:p>
    <w:p w14:paraId="5F66390A" w14:textId="77777777" w:rsidR="007C7EF4" w:rsidRPr="00CD459A" w:rsidRDefault="007C7EF4" w:rsidP="007C7EF4">
      <w:pPr>
        <w:suppressLineNumbers/>
        <w:tabs>
          <w:tab w:val="left" w:pos="-720"/>
        </w:tabs>
        <w:ind w:left="284" w:hanging="284"/>
        <w:jc w:val="both"/>
        <w:rPr>
          <w:rFonts w:ascii="Verdana" w:hAnsi="Verdana" w:cs="Arial"/>
        </w:rPr>
      </w:pPr>
    </w:p>
    <w:p w14:paraId="6FA7201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3998734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las entidades beneficiarias de los recursos de Fiscalización, mediante la Instrucción de abono a cuenta.   </w:t>
      </w:r>
    </w:p>
    <w:p w14:paraId="288A8B90" w14:textId="77777777" w:rsidR="007C7EF4" w:rsidRPr="00CD459A" w:rsidRDefault="007C7EF4" w:rsidP="007C7EF4">
      <w:pPr>
        <w:suppressLineNumbers/>
        <w:tabs>
          <w:tab w:val="left" w:pos="-720"/>
        </w:tabs>
        <w:jc w:val="both"/>
        <w:rPr>
          <w:rFonts w:ascii="Verdana" w:hAnsi="Verdana" w:cs="Arial"/>
        </w:rPr>
      </w:pPr>
    </w:p>
    <w:p w14:paraId="6618CBF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45BC4DEE"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64068B89" w14:textId="77777777" w:rsidR="007C7EF4" w:rsidRPr="00CD459A" w:rsidRDefault="007C7EF4" w:rsidP="007C7EF4">
      <w:pPr>
        <w:suppressLineNumbers/>
        <w:tabs>
          <w:tab w:val="left" w:pos="-720"/>
        </w:tabs>
        <w:ind w:left="284" w:hanging="284"/>
        <w:jc w:val="both"/>
        <w:rPr>
          <w:rFonts w:ascii="Verdana" w:eastAsia="Calibri" w:hAnsi="Verdana" w:cs="Arial"/>
        </w:rPr>
      </w:pPr>
    </w:p>
    <w:p w14:paraId="6A23EC12"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314C5CA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al valor distribuido por el Departamento Nacional de Planeación, por concepto de </w:t>
      </w:r>
      <w:r w:rsidRPr="00CD459A">
        <w:rPr>
          <w:rFonts w:ascii="Verdana" w:hAnsi="Verdana" w:cs="Arial"/>
          <w:bCs/>
        </w:rPr>
        <w:t>fiscalización del sistema general de regalías.</w:t>
      </w:r>
    </w:p>
    <w:p w14:paraId="598A6DD2" w14:textId="77777777" w:rsidR="007C7EF4" w:rsidRPr="00CD459A" w:rsidRDefault="007C7EF4" w:rsidP="007C7EF4">
      <w:pPr>
        <w:suppressLineNumbers/>
        <w:tabs>
          <w:tab w:val="left" w:pos="-720"/>
        </w:tabs>
        <w:jc w:val="both"/>
        <w:rPr>
          <w:rFonts w:ascii="Verdana" w:hAnsi="Verdana" w:cs="Arial"/>
        </w:rPr>
      </w:pPr>
    </w:p>
    <w:p w14:paraId="2EA3E94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6DE2F8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realizar actividades de fiscalización del Sistema General de Regalías durante el año en curso, para cada beneficiario, y su participación porcentual respecto al valor total de la subcuenta.</w:t>
      </w:r>
    </w:p>
    <w:p w14:paraId="54D1C62D" w14:textId="77777777" w:rsidR="007C7EF4" w:rsidRPr="00CD459A" w:rsidRDefault="007C7EF4" w:rsidP="007C7EF4">
      <w:pPr>
        <w:suppressLineNumbers/>
        <w:tabs>
          <w:tab w:val="left" w:pos="-720"/>
        </w:tabs>
        <w:jc w:val="both"/>
        <w:rPr>
          <w:rFonts w:ascii="Verdana" w:hAnsi="Verdana" w:cs="Arial"/>
        </w:rPr>
      </w:pPr>
    </w:p>
    <w:p w14:paraId="57FE0A9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7E9C309" w14:textId="77777777" w:rsidR="007C7EF4" w:rsidRPr="00CD459A" w:rsidRDefault="007C7EF4" w:rsidP="007C7EF4">
      <w:pPr>
        <w:suppressLineNumbers/>
        <w:tabs>
          <w:tab w:val="left" w:pos="-720"/>
        </w:tabs>
        <w:ind w:left="284" w:hanging="284"/>
        <w:jc w:val="both"/>
        <w:rPr>
          <w:rFonts w:ascii="Verdana" w:hAnsi="Verdana" w:cs="Arial"/>
        </w:rPr>
      </w:pPr>
    </w:p>
    <w:p w14:paraId="6DEC0B3B"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74A35D4A" w14:textId="77777777" w:rsidR="007C7EF4" w:rsidRPr="00CD459A" w:rsidRDefault="007C7EF4" w:rsidP="00AB3D96">
      <w:pPr>
        <w:pStyle w:val="Prrafodelista"/>
        <w:widowControl w:val="0"/>
        <w:numPr>
          <w:ilvl w:val="0"/>
          <w:numId w:val="68"/>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recursos para Fiscalización del Sistema General de Regalías, con crédito a la subcuenta 240316 – Transferencias Sistema General de Regalías. </w:t>
      </w:r>
    </w:p>
    <w:p w14:paraId="3A3EE10F" w14:textId="77777777" w:rsidR="007C7EF4" w:rsidRPr="00CD459A" w:rsidRDefault="007C7EF4" w:rsidP="007C7EF4">
      <w:pPr>
        <w:widowControl w:val="0"/>
        <w:autoSpaceDE w:val="0"/>
        <w:autoSpaceDN w:val="0"/>
        <w:adjustRightInd w:val="0"/>
        <w:jc w:val="both"/>
        <w:rPr>
          <w:rFonts w:ascii="Verdana" w:hAnsi="Verdana" w:cs="Arial"/>
        </w:rPr>
      </w:pPr>
    </w:p>
    <w:p w14:paraId="194CDBFC"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7D7ADEAA" w14:textId="77777777" w:rsidR="007C7EF4" w:rsidRPr="00CD459A" w:rsidRDefault="007C7EF4" w:rsidP="00AB3D96">
      <w:pPr>
        <w:pStyle w:val="Prrafodelista"/>
        <w:numPr>
          <w:ilvl w:val="0"/>
          <w:numId w:val="68"/>
        </w:numPr>
        <w:suppressLineNumbers/>
        <w:tabs>
          <w:tab w:val="left" w:pos="-720"/>
        </w:tabs>
        <w:spacing w:line="240" w:lineRule="auto"/>
        <w:jc w:val="both"/>
        <w:rPr>
          <w:rFonts w:ascii="Verdana" w:hAnsi="Verdana" w:cs="Arial"/>
        </w:rPr>
      </w:pPr>
      <w:r w:rsidRPr="00CD459A">
        <w:rPr>
          <w:rFonts w:ascii="Verdana" w:hAnsi="Verdana" w:cs="Arial"/>
        </w:rPr>
        <w:t>1-El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2409"/>
        <w:gridCol w:w="5482"/>
      </w:tblGrid>
      <w:tr w:rsidR="00CD459A" w:rsidRPr="00CD459A" w14:paraId="690E0114" w14:textId="77777777" w:rsidTr="003B74CE">
        <w:tc>
          <w:tcPr>
            <w:tcW w:w="988" w:type="dxa"/>
          </w:tcPr>
          <w:p w14:paraId="6DBD0A7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409" w:type="dxa"/>
          </w:tcPr>
          <w:p w14:paraId="0846F729"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482" w:type="dxa"/>
          </w:tcPr>
          <w:p w14:paraId="25848C7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3A241C90" w14:textId="77777777" w:rsidTr="003B74CE">
        <w:tc>
          <w:tcPr>
            <w:tcW w:w="988" w:type="dxa"/>
          </w:tcPr>
          <w:p w14:paraId="594C578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2409" w:type="dxa"/>
          </w:tcPr>
          <w:p w14:paraId="60C681CD"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5482" w:type="dxa"/>
          </w:tcPr>
          <w:p w14:paraId="3A6E724F"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541308</w:t>
            </w:r>
          </w:p>
        </w:tc>
      </w:tr>
      <w:tr w:rsidR="00CD459A" w:rsidRPr="00CD459A" w14:paraId="57B23653" w14:textId="77777777" w:rsidTr="003B74CE">
        <w:tc>
          <w:tcPr>
            <w:tcW w:w="988" w:type="dxa"/>
          </w:tcPr>
          <w:p w14:paraId="16688E5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2409" w:type="dxa"/>
          </w:tcPr>
          <w:p w14:paraId="4428704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5482" w:type="dxa"/>
          </w:tcPr>
          <w:p w14:paraId="5E6805C5"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MONITOREO, SEGUIMIENTO, CONTROL Y EVALUACIÓN DEL SISTEMA GENERAL DE REGALÍAS</w:t>
            </w:r>
          </w:p>
        </w:tc>
      </w:tr>
    </w:tbl>
    <w:p w14:paraId="6ADAED3C" w14:textId="77777777" w:rsidR="007C7EF4" w:rsidRPr="00CD459A" w:rsidRDefault="007C7EF4" w:rsidP="007C7EF4">
      <w:pPr>
        <w:widowControl w:val="0"/>
        <w:autoSpaceDE w:val="0"/>
        <w:autoSpaceDN w:val="0"/>
        <w:adjustRightInd w:val="0"/>
        <w:jc w:val="both"/>
        <w:rPr>
          <w:rFonts w:ascii="Verdana" w:hAnsi="Verdana" w:cs="Arial"/>
        </w:rPr>
      </w:pPr>
    </w:p>
    <w:p w14:paraId="6BCC03E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76EA21D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se muestra el valor distribuido por el DNP para monitoreo, seguimiento, control y evaluación del sistema general de regalías durante la vigencia fiscal en curso cuyo objeto es velar por el uso eficiente y eficaz de los recursos del Sistema General de Regalías, fortaleciendo la transparencia, la participación ciudadana y el Buen Gobierno. El Sistema de Monitoreo, Seguimiento, Control y Evaluación de Regalías (SMSCE), es el conjunto de actores, normas, procedimientos y actividades que tienen como finalidad velar por el uso eficiente y eficaz de los recursos del Sistema General de Regalías. Se desarrollará de manera selectiva, con énfasis en acciones preventivas, sin perjuicio de las funciones que correspondan a las autoridades competentes en materia de inspección, vigilancia y control fiscal o disciplinario; y de investigación, acusación y juzgamiento de carácter penal. Para el ejercicio de las actividades de </w:t>
      </w:r>
      <w:r w:rsidRPr="00CD459A">
        <w:rPr>
          <w:rFonts w:ascii="Verdana" w:hAnsi="Verdana" w:cs="Arial"/>
          <w:bCs/>
        </w:rPr>
        <w:t>monitoreo, seguimiento, control y evaluación del sistema general de regalías</w:t>
      </w:r>
      <w:r w:rsidRPr="00CD459A">
        <w:rPr>
          <w:rFonts w:ascii="Verdana" w:hAnsi="Verdana" w:cs="Arial"/>
        </w:rPr>
        <w:t xml:space="preserve"> se podrá disponer hasta del 1% de los recursos del Sistema General de Regalías. Este porcentaje se descontará en forma proporcional del total de los ingresos del Sistema General de Regalías.</w:t>
      </w:r>
    </w:p>
    <w:p w14:paraId="0F20AAC5" w14:textId="77777777" w:rsidR="007C7EF4" w:rsidRPr="00CD459A" w:rsidRDefault="007C7EF4" w:rsidP="007C7EF4">
      <w:pPr>
        <w:suppressLineNumbers/>
        <w:tabs>
          <w:tab w:val="left" w:pos="-720"/>
        </w:tabs>
        <w:ind w:left="284" w:hanging="284"/>
        <w:jc w:val="both"/>
        <w:rPr>
          <w:rFonts w:ascii="Verdana" w:hAnsi="Verdana" w:cs="Arial"/>
        </w:rPr>
      </w:pPr>
    </w:p>
    <w:p w14:paraId="7343F8A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1F38B2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las entidades beneficiarias de los recursos de </w:t>
      </w:r>
      <w:r w:rsidRPr="00CD459A">
        <w:rPr>
          <w:rFonts w:ascii="Verdana" w:hAnsi="Verdana" w:cs="Arial"/>
          <w:bCs/>
        </w:rPr>
        <w:t>monitoreo, seguimiento, control y evaluación del sistema general de regalías</w:t>
      </w:r>
      <w:r w:rsidRPr="00CD459A">
        <w:rPr>
          <w:rFonts w:ascii="Verdana" w:hAnsi="Verdana" w:cs="Arial"/>
        </w:rPr>
        <w:t xml:space="preserve">, mediante la Instrucción de abono a cuenta.   </w:t>
      </w:r>
    </w:p>
    <w:p w14:paraId="372E7412" w14:textId="77777777" w:rsidR="007C7EF4" w:rsidRPr="00CD459A" w:rsidRDefault="007C7EF4" w:rsidP="007C7EF4">
      <w:pPr>
        <w:suppressLineNumbers/>
        <w:tabs>
          <w:tab w:val="left" w:pos="-720"/>
        </w:tabs>
        <w:jc w:val="both"/>
        <w:rPr>
          <w:rFonts w:ascii="Verdana" w:hAnsi="Verdana" w:cs="Arial"/>
        </w:rPr>
      </w:pPr>
    </w:p>
    <w:p w14:paraId="0C2797A8"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04D0261E"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40531295" w14:textId="77777777" w:rsidR="007C7EF4" w:rsidRPr="00CD459A" w:rsidRDefault="007C7EF4" w:rsidP="007C7EF4">
      <w:pPr>
        <w:suppressLineNumbers/>
        <w:tabs>
          <w:tab w:val="left" w:pos="-720"/>
        </w:tabs>
        <w:ind w:left="284" w:hanging="284"/>
        <w:jc w:val="both"/>
        <w:rPr>
          <w:rFonts w:ascii="Verdana" w:eastAsia="Calibri" w:hAnsi="Verdana" w:cs="Arial"/>
        </w:rPr>
      </w:pPr>
    </w:p>
    <w:p w14:paraId="4DFCB51F"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60A75EBF" w14:textId="77777777" w:rsidR="007C7EF4" w:rsidRPr="00CD459A" w:rsidRDefault="007C7EF4" w:rsidP="007C7EF4">
      <w:pPr>
        <w:suppressLineNumbers/>
        <w:tabs>
          <w:tab w:val="left" w:pos="-720"/>
        </w:tabs>
        <w:jc w:val="both"/>
        <w:rPr>
          <w:rFonts w:ascii="Verdana" w:hAnsi="Verdana" w:cs="Arial"/>
          <w:bCs/>
        </w:rPr>
      </w:pPr>
      <w:r w:rsidRPr="00CD459A">
        <w:rPr>
          <w:rFonts w:ascii="Verdana" w:hAnsi="Verdana" w:cs="Arial"/>
        </w:rPr>
        <w:t>Se compara el saldo contable, frente al valor distribuido por el Departamento Nacional de Planeación, por concepto de m</w:t>
      </w:r>
      <w:r w:rsidRPr="00CD459A">
        <w:rPr>
          <w:rFonts w:ascii="Verdana" w:hAnsi="Verdana" w:cs="Arial"/>
          <w:bCs/>
        </w:rPr>
        <w:t>onitoreo, seguimiento, control y evaluación del sistema general de regalías.</w:t>
      </w:r>
    </w:p>
    <w:p w14:paraId="0FEAABD1" w14:textId="77777777" w:rsidR="007C7EF4" w:rsidRPr="00CD459A" w:rsidRDefault="007C7EF4" w:rsidP="007C7EF4">
      <w:pPr>
        <w:suppressLineNumbers/>
        <w:tabs>
          <w:tab w:val="left" w:pos="-720"/>
        </w:tabs>
        <w:jc w:val="both"/>
        <w:rPr>
          <w:rFonts w:ascii="Verdana" w:hAnsi="Verdana" w:cs="Arial"/>
        </w:rPr>
      </w:pPr>
    </w:p>
    <w:p w14:paraId="38CE300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110A49C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subcuenta se revela el valor distribuido por el DNP para realizar actividades de </w:t>
      </w:r>
      <w:r w:rsidRPr="00CD459A">
        <w:rPr>
          <w:rFonts w:ascii="Verdana" w:hAnsi="Verdana" w:cs="Arial"/>
          <w:bCs/>
        </w:rPr>
        <w:t>monitoreo, seguimiento, control y evaluación del sistema general de regalías</w:t>
      </w:r>
      <w:r w:rsidRPr="00CD459A">
        <w:rPr>
          <w:rFonts w:ascii="Verdana" w:hAnsi="Verdana" w:cs="Arial"/>
        </w:rPr>
        <w:t xml:space="preserve"> durante el año en curso, para cada beneficiario, y su participación porcentual respecto al valor total de la subcuenta.</w:t>
      </w:r>
    </w:p>
    <w:p w14:paraId="52BDF90A" w14:textId="77777777" w:rsidR="007C7EF4" w:rsidRPr="00CD459A" w:rsidRDefault="007C7EF4" w:rsidP="007C7EF4">
      <w:pPr>
        <w:suppressLineNumbers/>
        <w:tabs>
          <w:tab w:val="left" w:pos="-720"/>
        </w:tabs>
        <w:ind w:left="284" w:hanging="284"/>
        <w:jc w:val="both"/>
        <w:rPr>
          <w:rFonts w:ascii="Verdana" w:hAnsi="Verdana" w:cs="Arial"/>
        </w:rPr>
      </w:pPr>
    </w:p>
    <w:p w14:paraId="5D07DDF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11DBCEDD" w14:textId="77777777" w:rsidR="007C7EF4" w:rsidRPr="00CD459A" w:rsidRDefault="007C7EF4" w:rsidP="007C7EF4">
      <w:pPr>
        <w:suppressLineNumbers/>
        <w:tabs>
          <w:tab w:val="left" w:pos="-720"/>
        </w:tabs>
        <w:ind w:left="284" w:hanging="284"/>
        <w:jc w:val="both"/>
        <w:rPr>
          <w:rFonts w:ascii="Verdana" w:hAnsi="Verdana" w:cs="Arial"/>
        </w:rPr>
      </w:pPr>
    </w:p>
    <w:p w14:paraId="389B9E3F"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7774B3DD" w14:textId="77777777" w:rsidR="007C7EF4" w:rsidRPr="00CD459A" w:rsidRDefault="007C7EF4" w:rsidP="00AB3D96">
      <w:pPr>
        <w:pStyle w:val="Prrafodelista"/>
        <w:widowControl w:val="0"/>
        <w:numPr>
          <w:ilvl w:val="0"/>
          <w:numId w:val="68"/>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recursos para </w:t>
      </w:r>
      <w:r w:rsidRPr="00CD459A">
        <w:rPr>
          <w:rFonts w:ascii="Verdana" w:hAnsi="Verdana" w:cs="Arial"/>
          <w:bCs/>
        </w:rPr>
        <w:t>monitoreo, seguimiento, control y evaluación del sistema general de regalías</w:t>
      </w:r>
      <w:r w:rsidRPr="00CD459A">
        <w:rPr>
          <w:rFonts w:ascii="Verdana" w:hAnsi="Verdana" w:cs="Arial"/>
        </w:rPr>
        <w:t xml:space="preserve">, con crédito a la subcuenta 240316 – Transferencias Sistema General de Regalías. </w:t>
      </w:r>
    </w:p>
    <w:p w14:paraId="532510A8" w14:textId="77777777" w:rsidR="007C7EF4" w:rsidRPr="00CD459A" w:rsidRDefault="007C7EF4" w:rsidP="007C7EF4">
      <w:pPr>
        <w:widowControl w:val="0"/>
        <w:autoSpaceDE w:val="0"/>
        <w:autoSpaceDN w:val="0"/>
        <w:adjustRightInd w:val="0"/>
        <w:jc w:val="both"/>
        <w:rPr>
          <w:rFonts w:ascii="Verdana" w:hAnsi="Verdana" w:cs="Arial"/>
        </w:rPr>
      </w:pPr>
    </w:p>
    <w:p w14:paraId="4FFCE21C"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169EF091" w14:textId="77777777" w:rsidR="007C7EF4" w:rsidRPr="00CD459A" w:rsidRDefault="007C7EF4" w:rsidP="00AB3D96">
      <w:pPr>
        <w:pStyle w:val="Prrafodelista"/>
        <w:numPr>
          <w:ilvl w:val="0"/>
          <w:numId w:val="68"/>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6A7FA45E"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88"/>
        <w:gridCol w:w="2409"/>
        <w:gridCol w:w="5482"/>
      </w:tblGrid>
      <w:tr w:rsidR="00CD459A" w:rsidRPr="00CD459A" w14:paraId="11ABF12B" w14:textId="77777777" w:rsidTr="003B74CE">
        <w:tc>
          <w:tcPr>
            <w:tcW w:w="988" w:type="dxa"/>
          </w:tcPr>
          <w:p w14:paraId="3DD1A51B"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409" w:type="dxa"/>
          </w:tcPr>
          <w:p w14:paraId="2EB7D96C"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5482" w:type="dxa"/>
          </w:tcPr>
          <w:p w14:paraId="5E1CCB31"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306BA42C" w14:textId="77777777" w:rsidTr="003B74CE">
        <w:tc>
          <w:tcPr>
            <w:tcW w:w="988" w:type="dxa"/>
          </w:tcPr>
          <w:p w14:paraId="0C4FB45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2409" w:type="dxa"/>
          </w:tcPr>
          <w:p w14:paraId="68C676D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5482" w:type="dxa"/>
          </w:tcPr>
          <w:p w14:paraId="20CB403A"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541309</w:t>
            </w:r>
          </w:p>
        </w:tc>
      </w:tr>
      <w:tr w:rsidR="00CD459A" w:rsidRPr="00CD459A" w14:paraId="4DC5C426" w14:textId="77777777" w:rsidTr="003B74CE">
        <w:tc>
          <w:tcPr>
            <w:tcW w:w="988" w:type="dxa"/>
          </w:tcPr>
          <w:p w14:paraId="2C86012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2409" w:type="dxa"/>
          </w:tcPr>
          <w:p w14:paraId="2BE80958"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5482" w:type="dxa"/>
          </w:tcPr>
          <w:p w14:paraId="7FBB415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PARA FUNCIONAMIENTO DEL SISTEMA GENERAL DE REGALÍAS</w:t>
            </w:r>
          </w:p>
        </w:tc>
      </w:tr>
    </w:tbl>
    <w:p w14:paraId="3702CC3C" w14:textId="77777777" w:rsidR="007C7EF4" w:rsidRPr="00CD459A" w:rsidRDefault="007C7EF4" w:rsidP="007C7EF4">
      <w:pPr>
        <w:widowControl w:val="0"/>
        <w:autoSpaceDE w:val="0"/>
        <w:autoSpaceDN w:val="0"/>
        <w:adjustRightInd w:val="0"/>
        <w:jc w:val="both"/>
        <w:rPr>
          <w:rFonts w:ascii="Verdana" w:hAnsi="Verdana" w:cs="Arial"/>
        </w:rPr>
      </w:pPr>
    </w:p>
    <w:p w14:paraId="0161D8E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6A0783E3"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se muestra el valor distribuido por el DNP para </w:t>
      </w:r>
      <w:r w:rsidRPr="00CD459A">
        <w:rPr>
          <w:rFonts w:ascii="Verdana" w:hAnsi="Verdana" w:cs="Arial"/>
          <w:bCs/>
        </w:rPr>
        <w:t>el funcionamiento del sistema general de regalías</w:t>
      </w:r>
      <w:r w:rsidRPr="00CD459A">
        <w:rPr>
          <w:rFonts w:ascii="Verdana" w:hAnsi="Verdana" w:cs="Arial"/>
        </w:rPr>
        <w:t xml:space="preserve"> durante la vigencia fiscal en curso. En cumplimiento de lo dispuesto por el inciso tercero del parágrafo tercero del artículo 361 de la Constitución Política, asígnese hasta el 2% anual de los recursos del Sistema General de Regalías para su funcionamiento. Con cargo a estos recursos se podrá fortalecer las Secretarías Técnicas de los Órganos Colegiados de Administración y Decisión. La administración de este porcentaje estará a cargo de la Comisión Rectora.</w:t>
      </w:r>
    </w:p>
    <w:p w14:paraId="3D5B88E6" w14:textId="77777777" w:rsidR="007C7EF4" w:rsidRPr="00CD459A" w:rsidRDefault="007C7EF4" w:rsidP="007C7EF4">
      <w:pPr>
        <w:suppressLineNumbers/>
        <w:tabs>
          <w:tab w:val="left" w:pos="-720"/>
        </w:tabs>
        <w:ind w:left="284" w:hanging="284"/>
        <w:jc w:val="both"/>
        <w:rPr>
          <w:rFonts w:ascii="Verdana" w:hAnsi="Verdana" w:cs="Arial"/>
        </w:rPr>
      </w:pPr>
    </w:p>
    <w:p w14:paraId="7B9FB13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297C982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para las entidades beneficiarias de los recursos de </w:t>
      </w:r>
      <w:r w:rsidRPr="00CD459A">
        <w:rPr>
          <w:rFonts w:ascii="Verdana" w:hAnsi="Verdana" w:cs="Arial"/>
          <w:bCs/>
        </w:rPr>
        <w:t>funcionamiento del sistema general de regalías</w:t>
      </w:r>
      <w:r w:rsidRPr="00CD459A">
        <w:rPr>
          <w:rFonts w:ascii="Verdana" w:hAnsi="Verdana" w:cs="Arial"/>
        </w:rPr>
        <w:t xml:space="preserve">, mediante la Instrucción de abono a cuenta.   </w:t>
      </w:r>
    </w:p>
    <w:p w14:paraId="2BE67C58" w14:textId="77777777" w:rsidR="007C7EF4" w:rsidRPr="00CD459A" w:rsidRDefault="007C7EF4" w:rsidP="007C7EF4">
      <w:pPr>
        <w:suppressLineNumbers/>
        <w:tabs>
          <w:tab w:val="left" w:pos="-720"/>
        </w:tabs>
        <w:jc w:val="both"/>
        <w:rPr>
          <w:rFonts w:ascii="Verdana" w:hAnsi="Verdana" w:cs="Arial"/>
        </w:rPr>
      </w:pPr>
    </w:p>
    <w:p w14:paraId="443D03D3"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715239A4"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7A7A300D" w14:textId="77777777" w:rsidR="007C7EF4" w:rsidRPr="00CD459A" w:rsidRDefault="007C7EF4" w:rsidP="007C7EF4">
      <w:pPr>
        <w:suppressLineNumbers/>
        <w:tabs>
          <w:tab w:val="left" w:pos="-720"/>
        </w:tabs>
        <w:ind w:left="284" w:hanging="284"/>
        <w:jc w:val="both"/>
        <w:rPr>
          <w:rFonts w:ascii="Verdana" w:eastAsia="Calibri" w:hAnsi="Verdana" w:cs="Arial"/>
        </w:rPr>
      </w:pPr>
    </w:p>
    <w:p w14:paraId="3C925D15"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4E2ECE5B" w14:textId="77777777" w:rsidR="007C7EF4" w:rsidRPr="00CD459A" w:rsidRDefault="007C7EF4" w:rsidP="007C7EF4">
      <w:pPr>
        <w:suppressLineNumbers/>
        <w:tabs>
          <w:tab w:val="left" w:pos="-720"/>
        </w:tabs>
        <w:jc w:val="both"/>
        <w:rPr>
          <w:rFonts w:ascii="Verdana" w:hAnsi="Verdana" w:cs="Arial"/>
          <w:bCs/>
        </w:rPr>
      </w:pPr>
      <w:r w:rsidRPr="00CD459A">
        <w:rPr>
          <w:rFonts w:ascii="Verdana" w:hAnsi="Verdana" w:cs="Arial"/>
        </w:rPr>
        <w:t xml:space="preserve">Se compara el saldo contable, frente al valor distribuido por el Departamento Nacional de Planeación, por concepto de </w:t>
      </w:r>
      <w:r w:rsidRPr="00CD459A">
        <w:rPr>
          <w:rFonts w:ascii="Verdana" w:hAnsi="Verdana" w:cs="Arial"/>
          <w:bCs/>
        </w:rPr>
        <w:t>funcionamiento del sistema general de regalías.</w:t>
      </w:r>
    </w:p>
    <w:p w14:paraId="74AF4C4D" w14:textId="77777777" w:rsidR="007C7EF4" w:rsidRPr="00CD459A" w:rsidRDefault="007C7EF4" w:rsidP="007C7EF4">
      <w:pPr>
        <w:suppressLineNumbers/>
        <w:tabs>
          <w:tab w:val="left" w:pos="-720"/>
        </w:tabs>
        <w:jc w:val="both"/>
        <w:rPr>
          <w:rFonts w:ascii="Verdana" w:hAnsi="Verdana" w:cs="Arial"/>
        </w:rPr>
      </w:pPr>
    </w:p>
    <w:p w14:paraId="040F1E9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0FB9B7F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funcionamiento</w:t>
      </w:r>
      <w:r w:rsidRPr="00CD459A">
        <w:rPr>
          <w:rFonts w:ascii="Verdana" w:hAnsi="Verdana" w:cs="Arial"/>
          <w:bCs/>
        </w:rPr>
        <w:t xml:space="preserve"> del sistema general de regalías</w:t>
      </w:r>
      <w:r w:rsidRPr="00CD459A">
        <w:rPr>
          <w:rFonts w:ascii="Verdana" w:hAnsi="Verdana" w:cs="Arial"/>
        </w:rPr>
        <w:t xml:space="preserve"> durante el año en curso, para cada beneficiario, y su participación porcentual respecto al valor total de la subcuenta.</w:t>
      </w:r>
    </w:p>
    <w:p w14:paraId="06523C94" w14:textId="77777777" w:rsidR="007C7EF4" w:rsidRPr="00CD459A" w:rsidRDefault="007C7EF4" w:rsidP="007C7EF4">
      <w:pPr>
        <w:suppressLineNumbers/>
        <w:tabs>
          <w:tab w:val="left" w:pos="-720"/>
        </w:tabs>
        <w:ind w:left="284" w:hanging="284"/>
        <w:jc w:val="both"/>
        <w:rPr>
          <w:rFonts w:ascii="Verdana" w:hAnsi="Verdana" w:cs="Arial"/>
        </w:rPr>
      </w:pPr>
    </w:p>
    <w:p w14:paraId="1BEAA1D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135008DB" w14:textId="77777777" w:rsidR="007C7EF4" w:rsidRPr="00CD459A" w:rsidRDefault="007C7EF4" w:rsidP="007C7EF4">
      <w:pPr>
        <w:suppressLineNumbers/>
        <w:tabs>
          <w:tab w:val="left" w:pos="-720"/>
        </w:tabs>
        <w:ind w:left="284" w:hanging="284"/>
        <w:jc w:val="both"/>
        <w:rPr>
          <w:rFonts w:ascii="Verdana" w:hAnsi="Verdana" w:cs="Arial"/>
        </w:rPr>
      </w:pPr>
    </w:p>
    <w:p w14:paraId="0070792D"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7DDFD03A" w14:textId="77777777" w:rsidR="007C7EF4" w:rsidRPr="00CD459A" w:rsidRDefault="007C7EF4" w:rsidP="00AB3D96">
      <w:pPr>
        <w:pStyle w:val="Prrafodelista"/>
        <w:widowControl w:val="0"/>
        <w:numPr>
          <w:ilvl w:val="0"/>
          <w:numId w:val="68"/>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recursos para </w:t>
      </w:r>
      <w:r w:rsidRPr="00CD459A">
        <w:rPr>
          <w:rFonts w:ascii="Verdana" w:hAnsi="Verdana" w:cs="Arial"/>
          <w:bCs/>
        </w:rPr>
        <w:t>funcionamiento del sistema general de regalías</w:t>
      </w:r>
      <w:r w:rsidRPr="00CD459A">
        <w:rPr>
          <w:rFonts w:ascii="Verdana" w:hAnsi="Verdana" w:cs="Arial"/>
        </w:rPr>
        <w:t xml:space="preserve">, con crédito a la subcuenta 240316 – Transferencias Sistema General de Regalías. </w:t>
      </w:r>
    </w:p>
    <w:p w14:paraId="0E44313E" w14:textId="77777777" w:rsidR="007C7EF4" w:rsidRPr="00CD459A" w:rsidRDefault="007C7EF4" w:rsidP="007C7EF4">
      <w:pPr>
        <w:widowControl w:val="0"/>
        <w:autoSpaceDE w:val="0"/>
        <w:autoSpaceDN w:val="0"/>
        <w:adjustRightInd w:val="0"/>
        <w:jc w:val="both"/>
        <w:rPr>
          <w:rFonts w:ascii="Verdana" w:hAnsi="Verdana" w:cs="Arial"/>
        </w:rPr>
      </w:pPr>
    </w:p>
    <w:p w14:paraId="6921C7DA"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31AE9078" w14:textId="77777777" w:rsidR="007C7EF4" w:rsidRPr="00CD459A" w:rsidRDefault="007C7EF4" w:rsidP="00AB3D96">
      <w:pPr>
        <w:pStyle w:val="Prrafodelista"/>
        <w:numPr>
          <w:ilvl w:val="0"/>
          <w:numId w:val="68"/>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10E90A16" w14:textId="77777777" w:rsidR="007C7EF4" w:rsidRPr="00CD459A" w:rsidRDefault="007C7EF4" w:rsidP="007C7EF4">
      <w:pPr>
        <w:suppressLineNumbers/>
        <w:tabs>
          <w:tab w:val="left" w:pos="-720"/>
        </w:tabs>
        <w:ind w:left="284" w:hanging="284"/>
        <w:jc w:val="both"/>
        <w:rPr>
          <w:rFonts w:ascii="Verdana" w:hAnsi="Verdana" w:cs="Arial"/>
        </w:rPr>
      </w:pPr>
    </w:p>
    <w:p w14:paraId="5734B433" w14:textId="77777777" w:rsidR="007C7EF4" w:rsidRPr="00CD459A" w:rsidRDefault="007C7EF4" w:rsidP="007C7EF4">
      <w:pPr>
        <w:widowControl w:val="0"/>
        <w:autoSpaceDE w:val="0"/>
        <w:autoSpaceDN w:val="0"/>
        <w:adjustRightInd w:val="0"/>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2355BBEB" w14:textId="77777777" w:rsidTr="003B74CE">
        <w:tc>
          <w:tcPr>
            <w:tcW w:w="1984" w:type="dxa"/>
          </w:tcPr>
          <w:p w14:paraId="1BF1E9F0"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2AA854C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16C875A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23D1FA5A" w14:textId="77777777" w:rsidTr="003B74CE">
        <w:tc>
          <w:tcPr>
            <w:tcW w:w="1984" w:type="dxa"/>
          </w:tcPr>
          <w:p w14:paraId="2B16E7B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28C3F39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54</w:t>
            </w:r>
          </w:p>
        </w:tc>
        <w:tc>
          <w:tcPr>
            <w:tcW w:w="3482" w:type="dxa"/>
          </w:tcPr>
          <w:p w14:paraId="0064530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541310</w:t>
            </w:r>
          </w:p>
        </w:tc>
      </w:tr>
      <w:tr w:rsidR="00CD459A" w:rsidRPr="00CD459A" w14:paraId="10AD64FE" w14:textId="77777777" w:rsidTr="003B74CE">
        <w:tc>
          <w:tcPr>
            <w:tcW w:w="1984" w:type="dxa"/>
          </w:tcPr>
          <w:p w14:paraId="497E1B2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05E366FB"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TRANSFERENCIAS Y SUBVENCIONES</w:t>
            </w:r>
          </w:p>
        </w:tc>
        <w:tc>
          <w:tcPr>
            <w:tcW w:w="3482" w:type="dxa"/>
          </w:tcPr>
          <w:p w14:paraId="7FF2622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ASIGNACIÓN PARA LA PAZ</w:t>
            </w:r>
          </w:p>
        </w:tc>
      </w:tr>
    </w:tbl>
    <w:p w14:paraId="67081580" w14:textId="77777777" w:rsidR="007C7EF4" w:rsidRPr="00CD459A" w:rsidRDefault="007C7EF4" w:rsidP="007C7EF4">
      <w:pPr>
        <w:widowControl w:val="0"/>
        <w:autoSpaceDE w:val="0"/>
        <w:autoSpaceDN w:val="0"/>
        <w:adjustRightInd w:val="0"/>
        <w:jc w:val="both"/>
        <w:rPr>
          <w:rFonts w:ascii="Verdana" w:hAnsi="Verdana" w:cs="Arial"/>
        </w:rPr>
      </w:pPr>
    </w:p>
    <w:p w14:paraId="3C2DB64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5C324C4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se muestra el valor distribuido por el DNP para asignaciones para la paz durante la vigencia fiscal en curso. El acto legislativo 04 de 2017 definió los recursos del Sistema General de regalías que se deben destinar para la paz en los siguientes términos: PARÁGRAFO 4°, Cuando una entidad territorial que recibe recursos del Sistema General de Regalías para el ahorro pensional territorial cubra sus pasivos pensionales, destinará los recursos provenientes de esta fuente a la financiación de proyectos de inversión, Durante los veinte (20) años siguientes a la entrada en vigencia del presente acto legislativo, estos proyectos deberán tener como objeto la implementación del Acuerdo Final para la Terminación del Conflicto y la Construcción de una Paz Estable y Duradera, incluyendo la · financiación de proyectos destinados a la reparación integral de víctimas. Estos proyectos deberán ser definidos, por el Órgano Colegiado de Administración y Decisión de que trata el Parágrafo 7° Transitorio del Artículo 2 del presente acto legislativo; con posterioridad a los veinte (20) años, dichos provectos deberán ser definidos por los Órganos Colegiados de administración y Decisión municipales y Departamentales que trata el Parágrafo 2° del presente artículo. Las entidades territoriales Que, a la fecha de entrada en vigor del presente acto legislativo cuentes con recursos de ahorro pensional provenientes del Sistema General de Regalías, que sobrepasen el cubrimiento requerido de sus pasivos pensionales los destinarán igualmente a la financiación de proyectos de inversión en los términos señalados en el inciso anterior. PARÁGRAFO 7° TRANSITORIO. Durante los veinte (20) años siguientes a la entrada en vigor del presente acto legislativo, un 7% de los ingresos del Sistema General de Regalías se destinarán a una asignación para la Paz que tendrá como objeto financiar proyectos de inversión para la implementación del Acuerdo Final para la Terminación del conflicto y la Construcción de una Paz Estable y Duradera, incluyendo la financiación de proyectos destinados a la reparación de víctimas. Igual destinación tendrá el 70% de los ingresos que por rendimientos financieros genere el Sistema General de Regalías en estos años, con excepción de los generados por las asignaciones directas de que trata el inciso segundo del presente artículo. </w:t>
      </w:r>
    </w:p>
    <w:p w14:paraId="10A4B562" w14:textId="77777777" w:rsidR="007C7EF4" w:rsidRPr="00CD459A" w:rsidRDefault="007C7EF4" w:rsidP="007C7EF4">
      <w:pPr>
        <w:suppressLineNumbers/>
        <w:tabs>
          <w:tab w:val="left" w:pos="-720"/>
        </w:tabs>
        <w:ind w:left="284" w:hanging="284"/>
        <w:jc w:val="both"/>
        <w:rPr>
          <w:rFonts w:ascii="Verdana" w:hAnsi="Verdana" w:cs="Arial"/>
        </w:rPr>
      </w:pPr>
    </w:p>
    <w:p w14:paraId="19CF1A9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21181C7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del proyecto definido por el Órgano colegiado de Administración y decisión.   </w:t>
      </w:r>
    </w:p>
    <w:p w14:paraId="3508C63E" w14:textId="77777777" w:rsidR="007C7EF4" w:rsidRPr="00CD459A" w:rsidRDefault="007C7EF4" w:rsidP="007C7EF4">
      <w:pPr>
        <w:suppressLineNumbers/>
        <w:tabs>
          <w:tab w:val="left" w:pos="-720"/>
        </w:tabs>
        <w:jc w:val="both"/>
        <w:rPr>
          <w:rFonts w:ascii="Verdana" w:hAnsi="Verdana" w:cs="Arial"/>
        </w:rPr>
      </w:pPr>
    </w:p>
    <w:p w14:paraId="2CA9F72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1D767A9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654985CF"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09F54AD"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573EEB4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al valor distribuido por el Departamento Nacional de Planeación, por concepto de asignación para la Paz.</w:t>
      </w:r>
    </w:p>
    <w:p w14:paraId="23D42EF3" w14:textId="77777777" w:rsidR="007C7EF4" w:rsidRPr="00CD459A" w:rsidRDefault="007C7EF4" w:rsidP="007C7EF4">
      <w:pPr>
        <w:suppressLineNumbers/>
        <w:tabs>
          <w:tab w:val="left" w:pos="-720"/>
        </w:tabs>
        <w:ind w:left="284" w:hanging="284"/>
        <w:jc w:val="both"/>
        <w:rPr>
          <w:rFonts w:ascii="Verdana" w:hAnsi="Verdana" w:cs="Arial"/>
        </w:rPr>
      </w:pPr>
    </w:p>
    <w:p w14:paraId="1E19F04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6A3BE4C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asignado por el Órgano colegiado de administración y decisión para cada entidad beneficiaria de estos recursos durante el año en curso, y su participación porcentual respecto al valor total de la subcuenta.</w:t>
      </w:r>
    </w:p>
    <w:p w14:paraId="16C383A0" w14:textId="77777777" w:rsidR="007C7EF4" w:rsidRPr="00CD459A" w:rsidRDefault="007C7EF4" w:rsidP="007C7EF4">
      <w:pPr>
        <w:suppressLineNumbers/>
        <w:tabs>
          <w:tab w:val="left" w:pos="-720"/>
        </w:tabs>
        <w:ind w:left="284" w:hanging="284"/>
        <w:jc w:val="both"/>
        <w:rPr>
          <w:rFonts w:ascii="Verdana" w:hAnsi="Verdana" w:cs="Arial"/>
        </w:rPr>
      </w:pPr>
    </w:p>
    <w:p w14:paraId="659D5DD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1264E08" w14:textId="77777777" w:rsidR="007C7EF4" w:rsidRPr="00CD459A" w:rsidRDefault="007C7EF4" w:rsidP="007C7EF4">
      <w:pPr>
        <w:suppressLineNumbers/>
        <w:tabs>
          <w:tab w:val="left" w:pos="-720"/>
        </w:tabs>
        <w:ind w:left="284" w:hanging="284"/>
        <w:jc w:val="both"/>
        <w:rPr>
          <w:rFonts w:ascii="Verdana" w:hAnsi="Verdana" w:cs="Arial"/>
        </w:rPr>
      </w:pPr>
    </w:p>
    <w:p w14:paraId="158C80F2"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664EC9C6" w14:textId="77777777" w:rsidR="007C7EF4" w:rsidRPr="00CD459A" w:rsidRDefault="007C7EF4" w:rsidP="00AB3D96">
      <w:pPr>
        <w:pStyle w:val="Prrafodelista"/>
        <w:widowControl w:val="0"/>
        <w:numPr>
          <w:ilvl w:val="0"/>
          <w:numId w:val="68"/>
        </w:numPr>
        <w:autoSpaceDE w:val="0"/>
        <w:autoSpaceDN w:val="0"/>
        <w:adjustRightInd w:val="0"/>
        <w:spacing w:line="240" w:lineRule="auto"/>
        <w:jc w:val="both"/>
        <w:rPr>
          <w:rFonts w:ascii="Verdana" w:hAnsi="Verdana" w:cs="Arial"/>
        </w:rPr>
      </w:pPr>
      <w:r w:rsidRPr="00CD459A">
        <w:rPr>
          <w:rFonts w:ascii="Verdana" w:hAnsi="Verdana" w:cs="Arial"/>
        </w:rPr>
        <w:t xml:space="preserve">El valor asignado por el Órgano colegiado de administración y decisión para cada entidad beneficiaria de estos recursos, con crédito a la subcuenta 240316 – Transferencias Sistema General de Regalías. </w:t>
      </w:r>
    </w:p>
    <w:p w14:paraId="779FA30B" w14:textId="77777777" w:rsidR="007C7EF4" w:rsidRPr="00CD459A" w:rsidRDefault="007C7EF4" w:rsidP="007C7EF4">
      <w:pPr>
        <w:widowControl w:val="0"/>
        <w:autoSpaceDE w:val="0"/>
        <w:autoSpaceDN w:val="0"/>
        <w:adjustRightInd w:val="0"/>
        <w:jc w:val="both"/>
        <w:rPr>
          <w:rFonts w:ascii="Verdana" w:hAnsi="Verdana" w:cs="Arial"/>
        </w:rPr>
      </w:pPr>
    </w:p>
    <w:p w14:paraId="423ECF56"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19AF1AE3" w14:textId="77777777" w:rsidR="007C7EF4" w:rsidRPr="00CD459A" w:rsidRDefault="007C7EF4" w:rsidP="00AB3D96">
      <w:pPr>
        <w:pStyle w:val="Prrafodelista"/>
        <w:numPr>
          <w:ilvl w:val="0"/>
          <w:numId w:val="69"/>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6C9B1B9C" w14:textId="77777777" w:rsidTr="003B74CE">
        <w:tc>
          <w:tcPr>
            <w:tcW w:w="1984" w:type="dxa"/>
          </w:tcPr>
          <w:p w14:paraId="6DA7440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44E9273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3F925A3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0879FE1F" w14:textId="77777777" w:rsidTr="003B74CE">
        <w:tc>
          <w:tcPr>
            <w:tcW w:w="1984" w:type="dxa"/>
          </w:tcPr>
          <w:p w14:paraId="157F1BA5"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w:t>
            </w:r>
          </w:p>
        </w:tc>
        <w:tc>
          <w:tcPr>
            <w:tcW w:w="3413" w:type="dxa"/>
          </w:tcPr>
          <w:p w14:paraId="4854590A"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w:t>
            </w:r>
          </w:p>
        </w:tc>
        <w:tc>
          <w:tcPr>
            <w:tcW w:w="3482" w:type="dxa"/>
          </w:tcPr>
          <w:p w14:paraId="66E8B52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542316</w:t>
            </w:r>
          </w:p>
        </w:tc>
      </w:tr>
      <w:tr w:rsidR="00CD459A" w:rsidRPr="00CD459A" w14:paraId="7DB199B2" w14:textId="77777777" w:rsidTr="003B74CE">
        <w:tc>
          <w:tcPr>
            <w:tcW w:w="1984" w:type="dxa"/>
          </w:tcPr>
          <w:p w14:paraId="4B16AF25"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GASTOS</w:t>
            </w:r>
          </w:p>
        </w:tc>
        <w:tc>
          <w:tcPr>
            <w:tcW w:w="3413" w:type="dxa"/>
          </w:tcPr>
          <w:p w14:paraId="404A0E0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TRANSFERENCIAS Y SUBVENCIONES</w:t>
            </w:r>
          </w:p>
        </w:tc>
        <w:tc>
          <w:tcPr>
            <w:tcW w:w="3482" w:type="dxa"/>
          </w:tcPr>
          <w:p w14:paraId="74084E5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INCENTIVOS A LA PRODUCCIÓN MINERA</w:t>
            </w:r>
          </w:p>
        </w:tc>
      </w:tr>
    </w:tbl>
    <w:p w14:paraId="21622FE3" w14:textId="77777777" w:rsidR="007C7EF4" w:rsidRPr="00CD459A" w:rsidRDefault="007C7EF4" w:rsidP="007C7EF4">
      <w:pPr>
        <w:suppressLineNumbers/>
        <w:tabs>
          <w:tab w:val="left" w:pos="-720"/>
        </w:tabs>
        <w:ind w:left="284" w:hanging="284"/>
        <w:jc w:val="both"/>
        <w:rPr>
          <w:rFonts w:ascii="Verdana" w:hAnsi="Verdana" w:cs="Arial"/>
        </w:rPr>
      </w:pPr>
    </w:p>
    <w:p w14:paraId="4ED3D26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2F3CC44B" w14:textId="77777777" w:rsidR="007C7EF4" w:rsidRPr="00CD459A" w:rsidRDefault="007C7EF4" w:rsidP="007C7EF4">
      <w:pPr>
        <w:suppressLineNumbers/>
        <w:tabs>
          <w:tab w:val="left" w:pos="-720"/>
        </w:tabs>
        <w:ind w:left="284" w:hanging="284"/>
        <w:jc w:val="both"/>
        <w:rPr>
          <w:rFonts w:ascii="Verdana" w:hAnsi="Verdana" w:cs="Arial"/>
        </w:rPr>
      </w:pPr>
    </w:p>
    <w:p w14:paraId="49432E2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muestra el valor distribuido para incentivos a la producción minera durante la vigencia fiscal en curso. El objeto de estos recursos es incentivar o propiciar la inversión en la restauración social y económica de los territorios donde se desarrollen actividades de exploración y explotación de recursos naturales no renovables, así como en la protección y recuperación ambiental, sin perjuicio de la responsabilidad ambiental que le asiste a las empresas que adelanten dichas actividades, en virtud de la cual deben adelantar acciones de conservación y recuperación ambiental en los territorios en los que se lleven a cabo tales actividades. Los recursos correspondientes al incentivo para el aprovechamiento y la explotación integral de los recursos naturales no renovables se distribuirán entre los municipios y distritos de asignaciones directas y se destinaran a financiar y cofinanciar proyectos de inversión en los territorios dónde se realizan actividades de exploración y explotación, en las líneas de restauración social, restauración económica y protección y recuperación ambiental. El parágrafo del artículo 8 del decreto 2190 de 2016 le otorga al Ministerio de Minas y energía la facultad de elaborar la metodología de distribución, aplicación y asignación del incentivo, basados en la sostenibilidad o mejoramiento de los volúmenes de producción, de las entidades que resulten beneficiadas.</w:t>
      </w:r>
    </w:p>
    <w:p w14:paraId="314ECE96" w14:textId="77777777" w:rsidR="007C7EF4" w:rsidRPr="00CD459A" w:rsidRDefault="007C7EF4" w:rsidP="007C7EF4">
      <w:pPr>
        <w:suppressLineNumbers/>
        <w:tabs>
          <w:tab w:val="left" w:pos="-720"/>
        </w:tabs>
        <w:ind w:left="284" w:hanging="284"/>
        <w:jc w:val="both"/>
        <w:rPr>
          <w:rFonts w:ascii="Verdana" w:hAnsi="Verdana" w:cs="Arial"/>
        </w:rPr>
      </w:pPr>
    </w:p>
    <w:p w14:paraId="3758155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02B5B93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se realiza por el valor que distribuye el Departamento Nacional de Planeación, mediante la Instrucción de abono a cuenta, con base en los cupos asignados a las entidades beneficiarias de los recursos por el Ministerio de Minas y Energía.   </w:t>
      </w:r>
    </w:p>
    <w:p w14:paraId="108FBE7D" w14:textId="77777777" w:rsidR="007C7EF4" w:rsidRPr="00CD459A" w:rsidRDefault="007C7EF4" w:rsidP="007C7EF4">
      <w:pPr>
        <w:suppressLineNumbers/>
        <w:tabs>
          <w:tab w:val="left" w:pos="-720"/>
        </w:tabs>
        <w:jc w:val="both"/>
        <w:rPr>
          <w:rFonts w:ascii="Verdana" w:hAnsi="Verdana" w:cs="Arial"/>
        </w:rPr>
      </w:pPr>
    </w:p>
    <w:p w14:paraId="758B81C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54BD87AB"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060A9B38" w14:textId="77777777" w:rsidR="007C7EF4" w:rsidRPr="00CD459A" w:rsidRDefault="007C7EF4" w:rsidP="007C7EF4">
      <w:pPr>
        <w:suppressLineNumbers/>
        <w:tabs>
          <w:tab w:val="left" w:pos="-720"/>
        </w:tabs>
        <w:ind w:left="284" w:hanging="284"/>
        <w:jc w:val="both"/>
        <w:rPr>
          <w:rFonts w:ascii="Verdana" w:eastAsia="Calibri" w:hAnsi="Verdana" w:cs="Arial"/>
        </w:rPr>
      </w:pPr>
    </w:p>
    <w:p w14:paraId="5FF15CA1"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1E8D10A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al valor distribuido por el Departamento Nacional de Planeación, por concepto de incentivos a la producción minera.</w:t>
      </w:r>
    </w:p>
    <w:p w14:paraId="24C3B221" w14:textId="77777777" w:rsidR="007C7EF4" w:rsidRPr="00CD459A" w:rsidRDefault="007C7EF4" w:rsidP="007C7EF4">
      <w:pPr>
        <w:suppressLineNumbers/>
        <w:tabs>
          <w:tab w:val="left" w:pos="-720"/>
        </w:tabs>
        <w:jc w:val="both"/>
        <w:rPr>
          <w:rFonts w:ascii="Verdana" w:hAnsi="Verdana" w:cs="Arial"/>
        </w:rPr>
      </w:pPr>
    </w:p>
    <w:p w14:paraId="35C2D22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6224A41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distribuido por el DNP para incentivo a la producción minera durante el año en curso, para cada beneficiario, y su participación porcentual respecto al valor total de la subcuenta.</w:t>
      </w:r>
    </w:p>
    <w:p w14:paraId="32B8024A" w14:textId="77777777" w:rsidR="007C7EF4" w:rsidRPr="00CD459A" w:rsidRDefault="007C7EF4" w:rsidP="007C7EF4">
      <w:pPr>
        <w:suppressLineNumbers/>
        <w:tabs>
          <w:tab w:val="left" w:pos="-720"/>
        </w:tabs>
        <w:ind w:left="284" w:hanging="284"/>
        <w:jc w:val="both"/>
        <w:rPr>
          <w:rFonts w:ascii="Verdana" w:hAnsi="Verdana" w:cs="Arial"/>
        </w:rPr>
      </w:pPr>
    </w:p>
    <w:p w14:paraId="583C94F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272CB263" w14:textId="77777777" w:rsidR="007C7EF4" w:rsidRPr="00CD459A" w:rsidRDefault="007C7EF4" w:rsidP="007C7EF4">
      <w:pPr>
        <w:suppressLineNumbers/>
        <w:tabs>
          <w:tab w:val="left" w:pos="-720"/>
        </w:tabs>
        <w:ind w:left="284" w:hanging="284"/>
        <w:jc w:val="both"/>
        <w:rPr>
          <w:rFonts w:ascii="Verdana" w:hAnsi="Verdana" w:cs="Arial"/>
        </w:rPr>
      </w:pPr>
    </w:p>
    <w:p w14:paraId="78C438D5" w14:textId="77777777" w:rsidR="007C7EF4" w:rsidRPr="00CD459A" w:rsidRDefault="007C7EF4" w:rsidP="007C7EF4">
      <w:pPr>
        <w:suppressLineNumbers/>
        <w:tabs>
          <w:tab w:val="left" w:pos="-720"/>
        </w:tabs>
        <w:ind w:left="284" w:hanging="284"/>
        <w:jc w:val="both"/>
        <w:rPr>
          <w:rFonts w:ascii="Verdana" w:hAnsi="Verdana" w:cs="Arial"/>
          <w:bCs/>
        </w:rPr>
      </w:pPr>
      <w:r w:rsidRPr="00CD459A">
        <w:rPr>
          <w:rFonts w:ascii="Verdana" w:hAnsi="Verdana" w:cs="Arial"/>
          <w:bCs/>
        </w:rPr>
        <w:t>SE DEBITA CON:</w:t>
      </w:r>
    </w:p>
    <w:p w14:paraId="1BF825E0" w14:textId="77777777" w:rsidR="007C7EF4" w:rsidRPr="00CD459A" w:rsidRDefault="007C7EF4" w:rsidP="00AB3D96">
      <w:pPr>
        <w:pStyle w:val="Prrafodelista"/>
        <w:widowControl w:val="0"/>
        <w:numPr>
          <w:ilvl w:val="0"/>
          <w:numId w:val="69"/>
        </w:numPr>
        <w:autoSpaceDE w:val="0"/>
        <w:autoSpaceDN w:val="0"/>
        <w:adjustRightInd w:val="0"/>
        <w:spacing w:line="240" w:lineRule="auto"/>
        <w:jc w:val="both"/>
        <w:rPr>
          <w:rFonts w:ascii="Verdana" w:hAnsi="Verdana" w:cs="Arial"/>
        </w:rPr>
      </w:pPr>
      <w:r w:rsidRPr="00CD459A">
        <w:rPr>
          <w:rFonts w:ascii="Verdana" w:hAnsi="Verdana" w:cs="Arial"/>
        </w:rPr>
        <w:t xml:space="preserve">El valor distribuido por el DNP para cada beneficiario de recursos para </w:t>
      </w:r>
      <w:r w:rsidRPr="00CD459A">
        <w:rPr>
          <w:rFonts w:ascii="Verdana" w:hAnsi="Verdana" w:cs="Arial"/>
          <w:bCs/>
        </w:rPr>
        <w:t>funcionamiento del sistema general de regalías</w:t>
      </w:r>
      <w:r w:rsidRPr="00CD459A">
        <w:rPr>
          <w:rFonts w:ascii="Verdana" w:hAnsi="Verdana" w:cs="Arial"/>
        </w:rPr>
        <w:t xml:space="preserve">, con crédito a la subcuenta 240316 – Transferencias Sistema General de Regalías. </w:t>
      </w:r>
    </w:p>
    <w:p w14:paraId="19D1D326" w14:textId="77777777" w:rsidR="007C7EF4" w:rsidRPr="00CD459A" w:rsidRDefault="007C7EF4" w:rsidP="007C7EF4">
      <w:pPr>
        <w:widowControl w:val="0"/>
        <w:autoSpaceDE w:val="0"/>
        <w:autoSpaceDN w:val="0"/>
        <w:adjustRightInd w:val="0"/>
        <w:jc w:val="both"/>
        <w:rPr>
          <w:rFonts w:ascii="Verdana" w:hAnsi="Verdana" w:cs="Arial"/>
        </w:rPr>
      </w:pPr>
    </w:p>
    <w:p w14:paraId="219E2B4E"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51949824" w14:textId="77777777" w:rsidR="007C7EF4" w:rsidRPr="00CD459A" w:rsidRDefault="007C7EF4" w:rsidP="00AB3D96">
      <w:pPr>
        <w:pStyle w:val="Prrafodelista"/>
        <w:numPr>
          <w:ilvl w:val="0"/>
          <w:numId w:val="70"/>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2547"/>
        <w:gridCol w:w="4348"/>
      </w:tblGrid>
      <w:tr w:rsidR="00CD459A" w:rsidRPr="00CD459A" w14:paraId="2B337B39" w14:textId="77777777" w:rsidTr="003B74CE">
        <w:tc>
          <w:tcPr>
            <w:tcW w:w="1984" w:type="dxa"/>
          </w:tcPr>
          <w:p w14:paraId="4C9D6CF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547" w:type="dxa"/>
          </w:tcPr>
          <w:p w14:paraId="4E69983E"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348" w:type="dxa"/>
          </w:tcPr>
          <w:p w14:paraId="440266E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53EB7CC8" w14:textId="77777777" w:rsidTr="003B74CE">
        <w:tc>
          <w:tcPr>
            <w:tcW w:w="1984" w:type="dxa"/>
          </w:tcPr>
          <w:p w14:paraId="710B0D79"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w:t>
            </w:r>
          </w:p>
        </w:tc>
        <w:tc>
          <w:tcPr>
            <w:tcW w:w="2547" w:type="dxa"/>
          </w:tcPr>
          <w:p w14:paraId="5010DE02"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w:t>
            </w:r>
          </w:p>
        </w:tc>
        <w:tc>
          <w:tcPr>
            <w:tcW w:w="4348" w:type="dxa"/>
          </w:tcPr>
          <w:p w14:paraId="3221C0BA"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542405</w:t>
            </w:r>
          </w:p>
        </w:tc>
      </w:tr>
      <w:tr w:rsidR="00CD459A" w:rsidRPr="00CD459A" w14:paraId="45518806" w14:textId="77777777" w:rsidTr="003B74CE">
        <w:tc>
          <w:tcPr>
            <w:tcW w:w="1984" w:type="dxa"/>
          </w:tcPr>
          <w:p w14:paraId="0C1EDD0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GASTOS</w:t>
            </w:r>
          </w:p>
        </w:tc>
        <w:tc>
          <w:tcPr>
            <w:tcW w:w="2547" w:type="dxa"/>
          </w:tcPr>
          <w:p w14:paraId="1711026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TRANSFERENCIAS Y SUBVENCIONES</w:t>
            </w:r>
          </w:p>
        </w:tc>
        <w:tc>
          <w:tcPr>
            <w:tcW w:w="4348" w:type="dxa"/>
          </w:tcPr>
          <w:p w14:paraId="0295BBC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SUBVENCIÓN POR RECURSOS TRANSFERIDOS A LAS EMPRESAS PÚBLICAS</w:t>
            </w:r>
          </w:p>
        </w:tc>
      </w:tr>
    </w:tbl>
    <w:p w14:paraId="63DC3A01" w14:textId="77777777" w:rsidR="007C7EF4" w:rsidRPr="00CD459A" w:rsidRDefault="007C7EF4" w:rsidP="007C7EF4">
      <w:pPr>
        <w:pStyle w:val="Textoindependiente"/>
        <w:ind w:right="195"/>
        <w:rPr>
          <w:rFonts w:ascii="Verdana" w:hAnsi="Verdana" w:cs="Arial"/>
          <w:sz w:val="22"/>
          <w:szCs w:val="22"/>
        </w:rPr>
      </w:pPr>
    </w:p>
    <w:p w14:paraId="12AA117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56D918C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a la Empresa Nacional Promotora del Desarrollo Territorial- Enterritorio por concepto de funcionamiento.</w:t>
      </w:r>
    </w:p>
    <w:p w14:paraId="61991496" w14:textId="77777777" w:rsidR="007C7EF4" w:rsidRPr="00CD459A" w:rsidRDefault="007C7EF4" w:rsidP="007C7EF4">
      <w:pPr>
        <w:suppressLineNumbers/>
        <w:tabs>
          <w:tab w:val="left" w:pos="-720"/>
        </w:tabs>
        <w:ind w:left="284" w:hanging="284"/>
        <w:jc w:val="both"/>
        <w:rPr>
          <w:rFonts w:ascii="Verdana" w:hAnsi="Verdana" w:cs="Arial"/>
        </w:rPr>
      </w:pPr>
    </w:p>
    <w:p w14:paraId="48B7AD7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436D8DC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que se registra en esta subcuenta corresponde al valor distribuido mediante una Instrucción de abono a cuenta a la Empresa Nacional Promotora del Desarrollo Territorial- Enterritorio por concepto de funcionamiento.</w:t>
      </w:r>
    </w:p>
    <w:p w14:paraId="5CE4F670" w14:textId="77777777" w:rsidR="007C7EF4" w:rsidRPr="00CD459A" w:rsidRDefault="007C7EF4" w:rsidP="007C7EF4">
      <w:pPr>
        <w:suppressLineNumbers/>
        <w:tabs>
          <w:tab w:val="left" w:pos="-720"/>
        </w:tabs>
        <w:ind w:left="284" w:hanging="284"/>
        <w:jc w:val="both"/>
        <w:rPr>
          <w:rFonts w:ascii="Verdana" w:hAnsi="Verdana" w:cs="Arial"/>
        </w:rPr>
      </w:pPr>
    </w:p>
    <w:p w14:paraId="56CF1D26"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FUENTES DE INFORMACIÓN </w:t>
      </w:r>
    </w:p>
    <w:p w14:paraId="668AA41A"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Instrucción Abono en cuenta emitida por el Departamento Nacional de Planeación </w:t>
      </w:r>
    </w:p>
    <w:p w14:paraId="6FC663B1" w14:textId="77777777" w:rsidR="007C7EF4" w:rsidRPr="00CD459A" w:rsidRDefault="007C7EF4" w:rsidP="007C7EF4">
      <w:pPr>
        <w:suppressLineNumbers/>
        <w:tabs>
          <w:tab w:val="left" w:pos="-720"/>
        </w:tabs>
        <w:ind w:left="284" w:hanging="284"/>
        <w:jc w:val="both"/>
        <w:rPr>
          <w:rFonts w:ascii="Verdana" w:eastAsia="Calibri" w:hAnsi="Verdana" w:cs="Arial"/>
        </w:rPr>
      </w:pPr>
    </w:p>
    <w:p w14:paraId="28EB6CDF" w14:textId="77777777" w:rsidR="007C7EF4" w:rsidRPr="00CD459A" w:rsidRDefault="007C7EF4" w:rsidP="007C7EF4">
      <w:pPr>
        <w:suppressLineNumbers/>
        <w:tabs>
          <w:tab w:val="left" w:pos="-720"/>
        </w:tabs>
        <w:ind w:left="284" w:hanging="284"/>
        <w:jc w:val="both"/>
        <w:rPr>
          <w:rFonts w:ascii="Verdana" w:eastAsia="Calibri" w:hAnsi="Verdana" w:cs="Arial"/>
        </w:rPr>
      </w:pPr>
      <w:r w:rsidRPr="00CD459A">
        <w:rPr>
          <w:rFonts w:ascii="Verdana" w:eastAsia="Calibri" w:hAnsi="Verdana" w:cs="Arial"/>
        </w:rPr>
        <w:t xml:space="preserve">CONCILIACIÓN </w:t>
      </w:r>
    </w:p>
    <w:p w14:paraId="5994604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concilia con el valor distribuido durante el año en la Instrucción de Abono a cuenta a nombre de la Empresa Nacional Promotora del Desarrollo Territorial- Enterritorio. </w:t>
      </w:r>
    </w:p>
    <w:p w14:paraId="2C3F53FF" w14:textId="77777777" w:rsidR="007C7EF4" w:rsidRPr="00CD459A" w:rsidRDefault="007C7EF4" w:rsidP="007C7EF4">
      <w:pPr>
        <w:suppressLineNumbers/>
        <w:tabs>
          <w:tab w:val="left" w:pos="-720"/>
        </w:tabs>
        <w:ind w:left="284" w:hanging="284"/>
        <w:jc w:val="both"/>
        <w:rPr>
          <w:rFonts w:ascii="Verdana" w:hAnsi="Verdana" w:cs="Arial"/>
        </w:rPr>
      </w:pPr>
    </w:p>
    <w:p w14:paraId="1486384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0D37BA7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la subcuenta se discrimina el valor distribuido que le corresponde a la Empresa Nacional Promotora del Desarrollo Territorial- Enterritorio.</w:t>
      </w:r>
    </w:p>
    <w:p w14:paraId="2DF91337" w14:textId="77777777" w:rsidR="007C7EF4" w:rsidRPr="00CD459A" w:rsidRDefault="007C7EF4" w:rsidP="007C7EF4">
      <w:pPr>
        <w:suppressLineNumbers/>
        <w:tabs>
          <w:tab w:val="left" w:pos="-720"/>
        </w:tabs>
        <w:ind w:left="284" w:hanging="284"/>
        <w:jc w:val="both"/>
        <w:rPr>
          <w:rFonts w:ascii="Verdana" w:hAnsi="Verdana" w:cs="Arial"/>
        </w:rPr>
      </w:pPr>
    </w:p>
    <w:p w14:paraId="4762F05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39ABC8EC" w14:textId="77777777" w:rsidR="007C7EF4" w:rsidRPr="00CD459A" w:rsidRDefault="007C7EF4" w:rsidP="007C7EF4">
      <w:pPr>
        <w:suppressLineNumbers/>
        <w:tabs>
          <w:tab w:val="left" w:pos="-720"/>
        </w:tabs>
        <w:ind w:left="284" w:hanging="284"/>
        <w:jc w:val="both"/>
        <w:rPr>
          <w:rFonts w:ascii="Verdana" w:hAnsi="Verdana" w:cs="Arial"/>
        </w:rPr>
      </w:pPr>
    </w:p>
    <w:p w14:paraId="0E47D4D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74BDCE91"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distribuido por funcionamiento a la Empresa Nacional Promotora del Desarrollo Territorial- Enterritorio, con crédito a la subcuenta 240209 - Subvención por recursos transferidos a las empresas públicas</w:t>
      </w:r>
    </w:p>
    <w:p w14:paraId="30AA77EE" w14:textId="77777777" w:rsidR="007C7EF4" w:rsidRPr="00CD459A" w:rsidRDefault="007C7EF4" w:rsidP="007C7EF4">
      <w:pPr>
        <w:pStyle w:val="Prrafodelista"/>
        <w:suppressLineNumbers/>
        <w:tabs>
          <w:tab w:val="left" w:pos="-720"/>
        </w:tabs>
        <w:jc w:val="both"/>
        <w:rPr>
          <w:rFonts w:ascii="Verdana" w:hAnsi="Verdana" w:cs="Arial"/>
        </w:rPr>
      </w:pPr>
    </w:p>
    <w:p w14:paraId="16C7A4A1" w14:textId="77777777" w:rsidR="007C7EF4" w:rsidRPr="00CD459A" w:rsidRDefault="007C7EF4" w:rsidP="007C7EF4">
      <w:pPr>
        <w:pStyle w:val="Prrafodelista"/>
        <w:suppressLineNumbers/>
        <w:tabs>
          <w:tab w:val="left" w:pos="-720"/>
        </w:tabs>
        <w:jc w:val="both"/>
        <w:rPr>
          <w:rFonts w:ascii="Verdana" w:hAnsi="Verdana" w:cs="Arial"/>
        </w:rPr>
      </w:pPr>
    </w:p>
    <w:p w14:paraId="04036CB0" w14:textId="77777777" w:rsidR="007C7EF4" w:rsidRPr="00CD459A" w:rsidRDefault="007C7EF4" w:rsidP="007C7EF4">
      <w:pPr>
        <w:pStyle w:val="Prrafodelista"/>
        <w:suppressLineNumbers/>
        <w:tabs>
          <w:tab w:val="left" w:pos="-720"/>
        </w:tabs>
        <w:jc w:val="both"/>
        <w:rPr>
          <w:rFonts w:ascii="Verdana" w:hAnsi="Verdana" w:cs="Arial"/>
        </w:rPr>
      </w:pPr>
    </w:p>
    <w:p w14:paraId="126D5842" w14:textId="77777777" w:rsidR="007C7EF4" w:rsidRPr="00CD459A" w:rsidRDefault="007C7EF4" w:rsidP="007C7EF4">
      <w:pPr>
        <w:pStyle w:val="Prrafodelista"/>
        <w:suppressLineNumbers/>
        <w:tabs>
          <w:tab w:val="left" w:pos="-720"/>
        </w:tabs>
        <w:jc w:val="both"/>
        <w:rPr>
          <w:rFonts w:ascii="Verdana" w:hAnsi="Verdana" w:cs="Arial"/>
        </w:rPr>
      </w:pPr>
    </w:p>
    <w:p w14:paraId="07DF97E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09E5909A" w14:textId="77777777" w:rsidR="007C7EF4" w:rsidRPr="00CD459A" w:rsidRDefault="007C7EF4" w:rsidP="00AB3D96">
      <w:pPr>
        <w:pStyle w:val="Prrafodelista"/>
        <w:numPr>
          <w:ilvl w:val="0"/>
          <w:numId w:val="37"/>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46E90FC7" w14:textId="77777777" w:rsidR="007C7EF4" w:rsidRPr="00CD459A" w:rsidRDefault="007C7EF4" w:rsidP="007C7EF4">
      <w:pPr>
        <w:pStyle w:val="Prrafodelista"/>
        <w:suppressLineNumbers/>
        <w:tabs>
          <w:tab w:val="left" w:pos="-720"/>
        </w:tabs>
        <w:jc w:val="both"/>
        <w:rPr>
          <w:rFonts w:ascii="Verdana" w:hAnsi="Verdana" w:cs="Arial"/>
        </w:rPr>
      </w:pPr>
    </w:p>
    <w:p w14:paraId="760F2918" w14:textId="77777777" w:rsidR="007C7EF4" w:rsidRPr="00CD459A" w:rsidRDefault="007C7EF4" w:rsidP="007C7EF4">
      <w:pPr>
        <w:suppressLineNumbers/>
        <w:tabs>
          <w:tab w:val="left" w:pos="-720"/>
        </w:tabs>
        <w:ind w:left="284" w:hanging="284"/>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1D49B56D" w14:textId="77777777" w:rsidTr="003B74CE">
        <w:tc>
          <w:tcPr>
            <w:tcW w:w="1984" w:type="dxa"/>
          </w:tcPr>
          <w:p w14:paraId="3EA87BD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60A31C1A"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6C79F21A"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07487C48" w14:textId="77777777" w:rsidTr="003B74CE">
        <w:tc>
          <w:tcPr>
            <w:tcW w:w="1984" w:type="dxa"/>
          </w:tcPr>
          <w:p w14:paraId="2FC1D25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39AE3E5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3482" w:type="dxa"/>
          </w:tcPr>
          <w:p w14:paraId="6C9ABCC3"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6E06A2E9" w14:textId="77777777" w:rsidTr="003B74CE">
        <w:tc>
          <w:tcPr>
            <w:tcW w:w="1984" w:type="dxa"/>
          </w:tcPr>
          <w:p w14:paraId="02D477F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2C0A7C0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3482" w:type="dxa"/>
          </w:tcPr>
          <w:p w14:paraId="294598E0" w14:textId="77777777" w:rsidR="007C7EF4" w:rsidRPr="00CD459A" w:rsidRDefault="007C7EF4" w:rsidP="003B74CE">
            <w:pPr>
              <w:widowControl w:val="0"/>
              <w:autoSpaceDE w:val="0"/>
              <w:autoSpaceDN w:val="0"/>
              <w:adjustRightInd w:val="0"/>
              <w:jc w:val="both"/>
              <w:rPr>
                <w:rFonts w:ascii="Verdana" w:hAnsi="Verdana" w:cs="Arial"/>
              </w:rPr>
            </w:pPr>
          </w:p>
        </w:tc>
      </w:tr>
    </w:tbl>
    <w:p w14:paraId="0FA4C72C" w14:textId="77777777" w:rsidR="007C7EF4" w:rsidRPr="00CD459A" w:rsidRDefault="007C7EF4" w:rsidP="007C7EF4">
      <w:pPr>
        <w:widowControl w:val="0"/>
        <w:autoSpaceDE w:val="0"/>
        <w:autoSpaceDN w:val="0"/>
        <w:adjustRightInd w:val="0"/>
        <w:jc w:val="both"/>
        <w:rPr>
          <w:rFonts w:ascii="Verdana" w:hAnsi="Verdana" w:cs="Arial"/>
        </w:rPr>
      </w:pPr>
    </w:p>
    <w:p w14:paraId="3F79A6A5"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38FAE29B" w14:textId="77777777" w:rsidR="007C7EF4" w:rsidRPr="00CD459A" w:rsidRDefault="007C7EF4" w:rsidP="007C7EF4">
      <w:pPr>
        <w:widowControl w:val="0"/>
        <w:autoSpaceDE w:val="0"/>
        <w:autoSpaceDN w:val="0"/>
        <w:adjustRightInd w:val="0"/>
        <w:jc w:val="both"/>
        <w:rPr>
          <w:rFonts w:ascii="Verdana" w:hAnsi="Verdana" w:cs="Arial"/>
          <w:bCs/>
        </w:rPr>
      </w:pPr>
    </w:p>
    <w:p w14:paraId="64BF07B3" w14:textId="64D6E2C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las cuentas que representan los gastos de la entidad que, por su naturaleza, no son susceptibles de clasificarse en alguna de las cuentas definidas anteriormente.</w:t>
      </w:r>
    </w:p>
    <w:p w14:paraId="3BE75C0A" w14:textId="001C9D9B" w:rsidR="007C7EF4" w:rsidRPr="00DA3A85" w:rsidRDefault="007C7EF4" w:rsidP="00DA3A85">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17DDD8F8" w14:textId="77777777" w:rsidTr="003B74CE">
        <w:trPr>
          <w:jc w:val="center"/>
        </w:trPr>
        <w:tc>
          <w:tcPr>
            <w:tcW w:w="4678" w:type="dxa"/>
            <w:tcBorders>
              <w:bottom w:val="single" w:sz="12" w:space="0" w:color="000000"/>
            </w:tcBorders>
            <w:shd w:val="solid" w:color="2F5395" w:fill="FFFFFF"/>
          </w:tcPr>
          <w:p w14:paraId="35C2BB22"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0A91D67B"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15CF90F0"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34D962FC"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12B71C91"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58 – Otros Gastos</w:t>
            </w:r>
          </w:p>
        </w:tc>
      </w:tr>
    </w:tbl>
    <w:p w14:paraId="56F80BBF"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04E77FF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40242D6C" w14:textId="77777777" w:rsidR="007C7EF4" w:rsidRPr="00CD459A" w:rsidRDefault="007C7EF4" w:rsidP="007C7EF4">
      <w:pPr>
        <w:jc w:val="both"/>
        <w:rPr>
          <w:rFonts w:ascii="Verdana" w:hAnsi="Verdana" w:cs="Arial"/>
          <w:b/>
          <w:lang w:val="es-ES_tradnl" w:eastAsia="es-CO"/>
        </w:rPr>
      </w:pPr>
    </w:p>
    <w:p w14:paraId="46EF5F27"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7681C60F"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7253723C" w14:textId="77777777" w:rsidTr="003B74CE">
        <w:trPr>
          <w:jc w:val="center"/>
        </w:trPr>
        <w:tc>
          <w:tcPr>
            <w:tcW w:w="3317" w:type="dxa"/>
            <w:tcBorders>
              <w:bottom w:val="single" w:sz="12" w:space="0" w:color="000000"/>
            </w:tcBorders>
            <w:shd w:val="solid" w:color="2F5395" w:fill="FFFFFF"/>
          </w:tcPr>
          <w:p w14:paraId="6B9835D1"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3" w:type="dxa"/>
            <w:tcBorders>
              <w:bottom w:val="single" w:sz="12" w:space="0" w:color="000000"/>
            </w:tcBorders>
            <w:shd w:val="solid" w:color="2F5395" w:fill="FFFFFF"/>
          </w:tcPr>
          <w:p w14:paraId="49558EC8"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7CDF3870"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06525100"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Citibank </w:t>
            </w:r>
          </w:p>
        </w:tc>
        <w:tc>
          <w:tcPr>
            <w:tcW w:w="5523" w:type="dxa"/>
            <w:tcBorders>
              <w:top w:val="single" w:sz="12" w:space="0" w:color="000000"/>
              <w:bottom w:val="single" w:sz="12" w:space="0" w:color="000000"/>
            </w:tcBorders>
            <w:shd w:val="pct20" w:color="FFFFFF" w:fill="FFFFFF"/>
            <w:vAlign w:val="center"/>
          </w:tcPr>
          <w:p w14:paraId="1EFA2161"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 xml:space="preserve">Disponer mediante plataformas y/o correo electrónico, </w:t>
            </w:r>
          </w:p>
        </w:tc>
      </w:tr>
      <w:tr w:rsidR="00CD459A" w:rsidRPr="00CD459A" w14:paraId="1966E09A"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1A85155A"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 xml:space="preserve">Banco de la Republica   </w:t>
            </w:r>
          </w:p>
        </w:tc>
        <w:tc>
          <w:tcPr>
            <w:tcW w:w="5523" w:type="dxa"/>
            <w:tcBorders>
              <w:top w:val="single" w:sz="12" w:space="0" w:color="000000"/>
              <w:bottom w:val="single" w:sz="12" w:space="0" w:color="000000"/>
            </w:tcBorders>
            <w:shd w:val="pct20" w:color="FFFFFF" w:fill="FFFFFF"/>
            <w:vAlign w:val="center"/>
          </w:tcPr>
          <w:p w14:paraId="7E90F07D"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eastAsia="es-CO"/>
              </w:rPr>
              <w:t>El grupo de Contabilidad descarga mensualmente del portal del Banco de la República, reporte de Evolución de Ahorros por Participe del Fideicomiso FAE.</w:t>
            </w:r>
          </w:p>
        </w:tc>
      </w:tr>
      <w:tr w:rsidR="00CD459A" w:rsidRPr="00CD459A" w14:paraId="71EB29A1"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1AC32AB8"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3" w:type="dxa"/>
            <w:tcBorders>
              <w:top w:val="single" w:sz="12" w:space="0" w:color="000000"/>
              <w:bottom w:val="single" w:sz="12" w:space="0" w:color="000000"/>
            </w:tcBorders>
            <w:shd w:val="pct20" w:color="FFFFFF" w:fill="FFFFFF"/>
            <w:vAlign w:val="center"/>
          </w:tcPr>
          <w:p w14:paraId="4C4AA637"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Recibir la información de las entidades antes mencionadas para realizar el registro, medición y revelación contable correspondiente.</w:t>
            </w:r>
          </w:p>
          <w:p w14:paraId="66D76FDC"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 xml:space="preserve">Conciliar y depurar las partidas de Otros Gastos. </w:t>
            </w:r>
          </w:p>
        </w:tc>
      </w:tr>
    </w:tbl>
    <w:p w14:paraId="65A8F61B" w14:textId="77777777" w:rsidR="007C7EF4" w:rsidRPr="00CD459A" w:rsidRDefault="007C7EF4" w:rsidP="007C7EF4">
      <w:pPr>
        <w:widowControl w:val="0"/>
        <w:autoSpaceDE w:val="0"/>
        <w:autoSpaceDN w:val="0"/>
        <w:adjustRightInd w:val="0"/>
        <w:jc w:val="both"/>
        <w:rPr>
          <w:rFonts w:ascii="Verdana" w:hAnsi="Verdana" w:cs="Arial"/>
        </w:rPr>
      </w:pPr>
    </w:p>
    <w:p w14:paraId="1DF643F3" w14:textId="77777777" w:rsidR="007C7EF4" w:rsidRPr="00CD459A" w:rsidRDefault="007C7EF4" w:rsidP="007C7EF4">
      <w:pPr>
        <w:widowControl w:val="0"/>
        <w:autoSpaceDE w:val="0"/>
        <w:autoSpaceDN w:val="0"/>
        <w:adjustRightInd w:val="0"/>
        <w:ind w:left="709" w:hanging="709"/>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1DDCB0B3" w14:textId="77777777" w:rsidTr="003B74CE">
        <w:tc>
          <w:tcPr>
            <w:tcW w:w="1984" w:type="dxa"/>
          </w:tcPr>
          <w:p w14:paraId="0B99887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1C14DFC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67D97EA7"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0F28F704" w14:textId="77777777" w:rsidTr="003B74CE">
        <w:tc>
          <w:tcPr>
            <w:tcW w:w="1984" w:type="dxa"/>
          </w:tcPr>
          <w:p w14:paraId="3673895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0967841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3482" w:type="dxa"/>
          </w:tcPr>
          <w:p w14:paraId="6342A7B7"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580301</w:t>
            </w:r>
          </w:p>
        </w:tc>
      </w:tr>
      <w:tr w:rsidR="00CD459A" w:rsidRPr="00CD459A" w14:paraId="74D940AF" w14:textId="77777777" w:rsidTr="003B74CE">
        <w:tc>
          <w:tcPr>
            <w:tcW w:w="1984" w:type="dxa"/>
          </w:tcPr>
          <w:p w14:paraId="31991EA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5A38FFF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3482" w:type="dxa"/>
          </w:tcPr>
          <w:p w14:paraId="57BFD19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EFECTIVO Y EQUIVALENTES AL EFECTIVO</w:t>
            </w:r>
          </w:p>
        </w:tc>
      </w:tr>
    </w:tbl>
    <w:p w14:paraId="4D9372CF" w14:textId="77777777" w:rsidR="007C7EF4" w:rsidRPr="00CD459A" w:rsidRDefault="007C7EF4" w:rsidP="007C7EF4">
      <w:pPr>
        <w:widowControl w:val="0"/>
        <w:autoSpaceDE w:val="0"/>
        <w:autoSpaceDN w:val="0"/>
        <w:adjustRightInd w:val="0"/>
        <w:jc w:val="both"/>
        <w:rPr>
          <w:rFonts w:ascii="Verdana" w:hAnsi="Verdana" w:cs="Arial"/>
        </w:rPr>
      </w:pPr>
    </w:p>
    <w:p w14:paraId="2CA8452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6E0AC56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registra el valor que se genera como diferencia en cambio por la reducción de la TRM sobre el saldo de la cuenta bancaria 3627554 del Citibank que se maneja en dólares americanos.</w:t>
      </w:r>
    </w:p>
    <w:p w14:paraId="2E442E41" w14:textId="77777777" w:rsidR="007C7EF4" w:rsidRPr="00CD459A" w:rsidRDefault="007C7EF4" w:rsidP="007C7EF4">
      <w:pPr>
        <w:suppressLineNumbers/>
        <w:tabs>
          <w:tab w:val="left" w:pos="-720"/>
        </w:tabs>
        <w:ind w:left="284" w:hanging="284"/>
        <w:jc w:val="both"/>
        <w:rPr>
          <w:rFonts w:ascii="Verdana" w:hAnsi="Verdana" w:cs="Arial"/>
        </w:rPr>
      </w:pPr>
    </w:p>
    <w:p w14:paraId="08AF36A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MEDICIÓN</w:t>
      </w:r>
    </w:p>
    <w:p w14:paraId="2D95423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que resulte de la diferencia entre el saldo contable de la cuenta bancaria 36277554 una vez registradas todas las operaciones del respectivo mes, y el valor que resulte de multiplicar el saldo del extracto bancario de la cuenta 36277554 por la TRM del último día hábil del respectivo mes.</w:t>
      </w:r>
    </w:p>
    <w:p w14:paraId="52192139" w14:textId="77777777" w:rsidR="007C7EF4" w:rsidRPr="00CD459A" w:rsidRDefault="007C7EF4" w:rsidP="007C7EF4">
      <w:pPr>
        <w:suppressLineNumbers/>
        <w:tabs>
          <w:tab w:val="left" w:pos="-720"/>
        </w:tabs>
        <w:ind w:left="284" w:hanging="284"/>
        <w:jc w:val="both"/>
        <w:rPr>
          <w:rFonts w:ascii="Verdana" w:hAnsi="Verdana" w:cs="Arial"/>
        </w:rPr>
      </w:pPr>
    </w:p>
    <w:p w14:paraId="291C763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43F065D6" w14:textId="77777777" w:rsidR="007C7EF4" w:rsidRPr="00CD459A" w:rsidRDefault="007C7EF4" w:rsidP="007C7EF4">
      <w:pPr>
        <w:suppressLineNumbers/>
        <w:tabs>
          <w:tab w:val="left" w:pos="-720"/>
        </w:tabs>
        <w:ind w:left="284" w:hanging="284"/>
        <w:jc w:val="both"/>
        <w:rPr>
          <w:rFonts w:ascii="Verdana" w:hAnsi="Verdana" w:cs="Arial"/>
        </w:rPr>
      </w:pPr>
    </w:p>
    <w:p w14:paraId="787FA99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Extracto Bancario Citibank </w:t>
      </w:r>
    </w:p>
    <w:p w14:paraId="549AFB4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TRM </w:t>
      </w:r>
    </w:p>
    <w:p w14:paraId="58A777D6" w14:textId="77777777" w:rsidR="007C7EF4" w:rsidRPr="00CD459A" w:rsidRDefault="007C7EF4" w:rsidP="007C7EF4">
      <w:pPr>
        <w:suppressLineNumbers/>
        <w:tabs>
          <w:tab w:val="left" w:pos="-720"/>
        </w:tabs>
        <w:ind w:left="284" w:hanging="284"/>
        <w:jc w:val="both"/>
        <w:rPr>
          <w:rFonts w:ascii="Verdana" w:hAnsi="Verdana" w:cs="Arial"/>
        </w:rPr>
      </w:pPr>
    </w:p>
    <w:p w14:paraId="2BAD35C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CONCILACIÓN </w:t>
      </w:r>
    </w:p>
    <w:p w14:paraId="1A44D0A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contable frente a la desvalorización neta, generada por la diferencia en cambio entre la TRM y pesos colombianos. </w:t>
      </w:r>
    </w:p>
    <w:p w14:paraId="5D05FDAC" w14:textId="77777777" w:rsidR="007C7EF4" w:rsidRPr="00CD459A" w:rsidRDefault="007C7EF4" w:rsidP="007C7EF4">
      <w:pPr>
        <w:suppressLineNumbers/>
        <w:tabs>
          <w:tab w:val="left" w:pos="-720"/>
        </w:tabs>
        <w:ind w:left="284" w:hanging="284"/>
        <w:jc w:val="both"/>
        <w:rPr>
          <w:rFonts w:ascii="Verdana" w:hAnsi="Verdana" w:cs="Arial"/>
        </w:rPr>
      </w:pPr>
    </w:p>
    <w:p w14:paraId="49E1894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7FF23C2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la diferencia en la TRM que justifica el valor del saldo.</w:t>
      </w:r>
    </w:p>
    <w:p w14:paraId="0AFA7206" w14:textId="77777777" w:rsidR="007C7EF4" w:rsidRPr="00CD459A" w:rsidRDefault="007C7EF4" w:rsidP="007C7EF4">
      <w:pPr>
        <w:suppressLineNumbers/>
        <w:tabs>
          <w:tab w:val="left" w:pos="-720"/>
        </w:tabs>
        <w:jc w:val="both"/>
        <w:rPr>
          <w:rFonts w:ascii="Verdana" w:hAnsi="Verdana" w:cs="Arial"/>
        </w:rPr>
      </w:pPr>
    </w:p>
    <w:p w14:paraId="44F4F92A"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0507A7D0" w14:textId="77777777" w:rsidR="007C7EF4" w:rsidRPr="00CD459A" w:rsidRDefault="007C7EF4" w:rsidP="007C7EF4">
      <w:pPr>
        <w:suppressLineNumbers/>
        <w:tabs>
          <w:tab w:val="left" w:pos="-720"/>
        </w:tabs>
        <w:ind w:left="284" w:hanging="284"/>
        <w:jc w:val="both"/>
        <w:rPr>
          <w:rFonts w:ascii="Verdana" w:hAnsi="Verdana" w:cs="Arial"/>
        </w:rPr>
      </w:pPr>
    </w:p>
    <w:p w14:paraId="11BD8B17"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69DF1B31" w14:textId="77777777" w:rsidR="007C7EF4" w:rsidRPr="00CD459A" w:rsidRDefault="007C7EF4" w:rsidP="00AB3D96">
      <w:pPr>
        <w:pStyle w:val="Prrafodelista"/>
        <w:widowControl w:val="0"/>
        <w:numPr>
          <w:ilvl w:val="0"/>
          <w:numId w:val="71"/>
        </w:numPr>
        <w:autoSpaceDE w:val="0"/>
        <w:autoSpaceDN w:val="0"/>
        <w:adjustRightInd w:val="0"/>
        <w:spacing w:line="240" w:lineRule="auto"/>
        <w:jc w:val="both"/>
        <w:rPr>
          <w:rFonts w:ascii="Verdana" w:hAnsi="Verdana" w:cs="Arial"/>
        </w:rPr>
      </w:pPr>
      <w:r w:rsidRPr="00CD459A">
        <w:rPr>
          <w:rFonts w:ascii="Verdana" w:hAnsi="Verdana" w:cs="Arial"/>
        </w:rPr>
        <w:t xml:space="preserve">El ajuste por la reducción en la TRM entre el último día hábil del mes inmediatamente anterior y la TRM del último día hábil del mes objeto de ajuste, previa disminución del gasto por el mismo concepto, si existiere; con crédito a la subcuenta 114001 – Cuenta única Sistema General de Regalías. </w:t>
      </w:r>
    </w:p>
    <w:p w14:paraId="2F2320A3" w14:textId="77777777" w:rsidR="007C7EF4" w:rsidRPr="00CD459A" w:rsidRDefault="007C7EF4" w:rsidP="007C7EF4">
      <w:pPr>
        <w:pStyle w:val="Prrafodelista"/>
        <w:widowControl w:val="0"/>
        <w:autoSpaceDE w:val="0"/>
        <w:autoSpaceDN w:val="0"/>
        <w:adjustRightInd w:val="0"/>
        <w:ind w:left="901"/>
        <w:jc w:val="both"/>
        <w:rPr>
          <w:rFonts w:ascii="Verdana" w:hAnsi="Verdana" w:cs="Arial"/>
        </w:rPr>
      </w:pPr>
    </w:p>
    <w:p w14:paraId="71A7CE06"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ACREDITA CON:</w:t>
      </w:r>
    </w:p>
    <w:p w14:paraId="51D22562" w14:textId="77777777" w:rsidR="007C7EF4" w:rsidRPr="00CD459A" w:rsidRDefault="007C7EF4" w:rsidP="00AB3D96">
      <w:pPr>
        <w:pStyle w:val="Prrafodelista"/>
        <w:widowControl w:val="0"/>
        <w:numPr>
          <w:ilvl w:val="0"/>
          <w:numId w:val="72"/>
        </w:numPr>
        <w:autoSpaceDE w:val="0"/>
        <w:autoSpaceDN w:val="0"/>
        <w:adjustRightInd w:val="0"/>
        <w:spacing w:line="240" w:lineRule="auto"/>
        <w:jc w:val="both"/>
        <w:rPr>
          <w:rFonts w:ascii="Verdana" w:hAnsi="Verdana" w:cs="Arial"/>
        </w:rPr>
      </w:pPr>
      <w:r w:rsidRPr="00CD459A">
        <w:rPr>
          <w:rFonts w:ascii="Verdana" w:hAnsi="Verdana" w:cs="Arial"/>
        </w:rPr>
        <w:t>El ajuste por el incremento en la TRM entre el último día hábil del mes inmediatamente anterior y la TRM del último día hábil del mes objeto de ajuste, hasta por el saldo que existe en esta subcuenta, con debito a la subcuenta 114001 – Cuenta única Sistema General de Regalías.</w:t>
      </w:r>
    </w:p>
    <w:p w14:paraId="05F10B27" w14:textId="77777777" w:rsidR="007C7EF4" w:rsidRPr="00CD459A" w:rsidRDefault="007C7EF4" w:rsidP="00AB3D96">
      <w:pPr>
        <w:pStyle w:val="Prrafodelista"/>
        <w:widowControl w:val="0"/>
        <w:numPr>
          <w:ilvl w:val="0"/>
          <w:numId w:val="72"/>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débito a la subcuenta 311001 - Utilidad o excedente del ejercicio cuando los ingresos son superiores a los gastos del periodo, o a la subcuenta 311002 – Déficit del Ejercicio cuando los ingresos son inferiores a los gastos del periodo.</w:t>
      </w:r>
    </w:p>
    <w:p w14:paraId="0B4595E3" w14:textId="77777777" w:rsidR="007C7EF4" w:rsidRPr="00CD459A" w:rsidRDefault="007C7EF4" w:rsidP="007C7EF4">
      <w:pPr>
        <w:suppressLineNumbers/>
        <w:tabs>
          <w:tab w:val="left" w:pos="-720"/>
        </w:tabs>
        <w:ind w:left="284" w:hanging="284"/>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504113C1" w14:textId="77777777" w:rsidTr="003B74CE">
        <w:tc>
          <w:tcPr>
            <w:tcW w:w="1984" w:type="dxa"/>
          </w:tcPr>
          <w:p w14:paraId="0793DA38"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4E274506"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538FD73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2690B3BE" w14:textId="77777777" w:rsidTr="003B74CE">
        <w:tc>
          <w:tcPr>
            <w:tcW w:w="1984" w:type="dxa"/>
          </w:tcPr>
          <w:p w14:paraId="6B9FAFB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6825398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3482" w:type="dxa"/>
          </w:tcPr>
          <w:p w14:paraId="771CCA7A"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580350</w:t>
            </w:r>
          </w:p>
        </w:tc>
      </w:tr>
      <w:tr w:rsidR="00CD459A" w:rsidRPr="00CD459A" w14:paraId="2AAB8AE4" w14:textId="77777777" w:rsidTr="003B74CE">
        <w:tc>
          <w:tcPr>
            <w:tcW w:w="1984" w:type="dxa"/>
          </w:tcPr>
          <w:p w14:paraId="184C389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3F23FE6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3482" w:type="dxa"/>
          </w:tcPr>
          <w:p w14:paraId="62E29CF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FIDUCIA MERCANTIL - PATRIMONIO AUTÓNOMO</w:t>
            </w:r>
          </w:p>
        </w:tc>
      </w:tr>
    </w:tbl>
    <w:p w14:paraId="11FC0F4B" w14:textId="77777777" w:rsidR="007C7EF4" w:rsidRPr="00CD459A" w:rsidRDefault="007C7EF4" w:rsidP="007C7EF4">
      <w:pPr>
        <w:suppressLineNumbers/>
        <w:tabs>
          <w:tab w:val="left" w:pos="-720"/>
        </w:tabs>
        <w:ind w:left="284" w:hanging="284"/>
        <w:jc w:val="both"/>
        <w:rPr>
          <w:rFonts w:ascii="Verdana" w:hAnsi="Verdana" w:cs="Arial"/>
        </w:rPr>
      </w:pPr>
    </w:p>
    <w:p w14:paraId="0DE3682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0C3ED5A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registra el valor que se genera como diferencia en cambio por la reducción de la TRM sobre el saldo del Fondo de Ahorro y Estabilización – FAE en dólares americanos que es administrado por el Banco de la República.</w:t>
      </w:r>
    </w:p>
    <w:p w14:paraId="6198322D" w14:textId="77777777" w:rsidR="007C7EF4" w:rsidRPr="00CD459A" w:rsidRDefault="007C7EF4" w:rsidP="007C7EF4">
      <w:pPr>
        <w:suppressLineNumbers/>
        <w:tabs>
          <w:tab w:val="left" w:pos="-720"/>
        </w:tabs>
        <w:ind w:left="284" w:hanging="284"/>
        <w:jc w:val="both"/>
        <w:rPr>
          <w:rFonts w:ascii="Verdana" w:hAnsi="Verdana" w:cs="Arial"/>
        </w:rPr>
      </w:pPr>
    </w:p>
    <w:p w14:paraId="266A8EC2" w14:textId="6795FD20"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MEDICIÓN</w:t>
      </w:r>
    </w:p>
    <w:p w14:paraId="60F35E6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registro contable para afectar esta subcuenta se realiza por la diferencia entre el saldo contable de la cuenta de recursos entregados en administración al Banco de la República una vez registradas todas las operaciones de cada mes y el valor que resulte de multiplicar el saldo del Fondo de Ahorro y Estabilización – FAE por la TRM del último día hábil del respectivo mes. </w:t>
      </w:r>
    </w:p>
    <w:p w14:paraId="737A4D0B" w14:textId="77777777" w:rsidR="007C7EF4" w:rsidRPr="00CD459A" w:rsidRDefault="007C7EF4" w:rsidP="007C7EF4">
      <w:pPr>
        <w:suppressLineNumbers/>
        <w:tabs>
          <w:tab w:val="left" w:pos="-720"/>
        </w:tabs>
        <w:ind w:left="284" w:hanging="284"/>
        <w:jc w:val="both"/>
        <w:rPr>
          <w:rFonts w:ascii="Verdana" w:hAnsi="Verdana" w:cs="Arial"/>
        </w:rPr>
      </w:pPr>
    </w:p>
    <w:p w14:paraId="35EA89D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64430FD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Reporte Evolución de los Ahorros por participes </w:t>
      </w:r>
    </w:p>
    <w:p w14:paraId="7BC2B99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TRM </w:t>
      </w:r>
    </w:p>
    <w:p w14:paraId="7856BF94" w14:textId="77777777" w:rsidR="007C7EF4" w:rsidRPr="00CD459A" w:rsidRDefault="007C7EF4" w:rsidP="007C7EF4">
      <w:pPr>
        <w:suppressLineNumbers/>
        <w:tabs>
          <w:tab w:val="left" w:pos="-720"/>
        </w:tabs>
        <w:ind w:left="284" w:hanging="284"/>
        <w:jc w:val="both"/>
        <w:rPr>
          <w:rFonts w:ascii="Verdana" w:hAnsi="Verdana" w:cs="Arial"/>
        </w:rPr>
      </w:pPr>
    </w:p>
    <w:p w14:paraId="33BB7A66" w14:textId="08D17C30"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CONCILACIÓN </w:t>
      </w:r>
    </w:p>
    <w:p w14:paraId="2DCF7157" w14:textId="613D5422"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Se compara el saldo contable frente a la desvalorización neta, del saldo reflejado en el Reporte Evolución de los Ahorros por participes, generada por la diferencia en cambio entre la TRM y pesos colombianos.</w:t>
      </w:r>
    </w:p>
    <w:p w14:paraId="0A3BE489" w14:textId="77777777" w:rsidR="007C7EF4" w:rsidRPr="00CD459A" w:rsidRDefault="007C7EF4" w:rsidP="007C7EF4">
      <w:pPr>
        <w:suppressLineNumbers/>
        <w:tabs>
          <w:tab w:val="left" w:pos="-720"/>
        </w:tabs>
        <w:ind w:left="284" w:hanging="284"/>
        <w:jc w:val="both"/>
        <w:rPr>
          <w:rFonts w:ascii="Verdana" w:hAnsi="Verdana" w:cs="Arial"/>
        </w:rPr>
      </w:pPr>
    </w:p>
    <w:p w14:paraId="40BABBC4" w14:textId="5F41D34E"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REVELACIONES</w:t>
      </w:r>
    </w:p>
    <w:p w14:paraId="56C22D9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revelan los siguientes datos de cada mes del respectivo ejercicio contables; Saldo final en dólares americanos, TRM del último día hábil y las valorización o desvalorización. La sumatoria de las valorizaciones y desvalorizaciones soportan el saldo de esta subcuenta.</w:t>
      </w:r>
    </w:p>
    <w:p w14:paraId="725BB618" w14:textId="77777777" w:rsidR="007C7EF4" w:rsidRPr="00CD459A" w:rsidRDefault="007C7EF4" w:rsidP="007C7EF4">
      <w:pPr>
        <w:suppressLineNumbers/>
        <w:tabs>
          <w:tab w:val="left" w:pos="-720"/>
        </w:tabs>
        <w:jc w:val="both"/>
        <w:rPr>
          <w:rFonts w:ascii="Verdana" w:hAnsi="Verdana" w:cs="Arial"/>
        </w:rPr>
      </w:pPr>
    </w:p>
    <w:p w14:paraId="4365B86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3060CAE5" w14:textId="77777777" w:rsidR="007C7EF4" w:rsidRPr="00CD459A" w:rsidRDefault="007C7EF4" w:rsidP="007C7EF4">
      <w:pPr>
        <w:suppressLineNumbers/>
        <w:tabs>
          <w:tab w:val="left" w:pos="-720"/>
        </w:tabs>
        <w:ind w:left="284" w:hanging="284"/>
        <w:jc w:val="both"/>
        <w:rPr>
          <w:rFonts w:ascii="Verdana" w:hAnsi="Verdana" w:cs="Arial"/>
        </w:rPr>
      </w:pPr>
    </w:p>
    <w:p w14:paraId="22D2DC28" w14:textId="4D12A49C" w:rsidR="007C7EF4" w:rsidRPr="00DA3A85" w:rsidRDefault="007C7EF4" w:rsidP="00DA3A85">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0E54BCF5" w14:textId="77777777" w:rsidR="007C7EF4" w:rsidRDefault="007C7EF4" w:rsidP="00AB3D96">
      <w:pPr>
        <w:pStyle w:val="Prrafodelista"/>
        <w:widowControl w:val="0"/>
        <w:numPr>
          <w:ilvl w:val="0"/>
          <w:numId w:val="73"/>
        </w:numPr>
        <w:autoSpaceDE w:val="0"/>
        <w:autoSpaceDN w:val="0"/>
        <w:adjustRightInd w:val="0"/>
        <w:spacing w:line="240" w:lineRule="auto"/>
        <w:jc w:val="both"/>
        <w:rPr>
          <w:rFonts w:ascii="Verdana" w:hAnsi="Verdana" w:cs="Arial"/>
        </w:rPr>
      </w:pPr>
      <w:r w:rsidRPr="00CD459A">
        <w:rPr>
          <w:rFonts w:ascii="Verdana" w:hAnsi="Verdana" w:cs="Arial"/>
        </w:rPr>
        <w:t>El ajuste por la reducción en la TRM entre el último día hábil del mes inmediatamente anterior y la TRM del último día hábil del mes objeto de ajuste, sobre el saldo del Fondo de Ahorro y Estabilización – FAE, hasta por el saldo que existe en esta subcuenta, con crédito a la subcuenta 190801 – Recursos entregados en Administración.</w:t>
      </w:r>
    </w:p>
    <w:p w14:paraId="6A4DE1BB" w14:textId="77777777" w:rsidR="00DA3A85" w:rsidRPr="00CD459A" w:rsidRDefault="00DA3A85" w:rsidP="00DA3A85">
      <w:pPr>
        <w:pStyle w:val="Prrafodelista"/>
        <w:widowControl w:val="0"/>
        <w:autoSpaceDE w:val="0"/>
        <w:autoSpaceDN w:val="0"/>
        <w:adjustRightInd w:val="0"/>
        <w:spacing w:line="240" w:lineRule="auto"/>
        <w:jc w:val="both"/>
        <w:rPr>
          <w:rFonts w:ascii="Verdana" w:hAnsi="Verdana" w:cs="Arial"/>
        </w:rPr>
      </w:pPr>
    </w:p>
    <w:p w14:paraId="6402EB49" w14:textId="48D9A936" w:rsidR="007C7EF4" w:rsidRPr="00DA3A85"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5F094561" w14:textId="77777777" w:rsidR="007C7EF4" w:rsidRPr="00CD459A" w:rsidRDefault="007C7EF4" w:rsidP="00AB3D96">
      <w:pPr>
        <w:pStyle w:val="Prrafodelista"/>
        <w:widowControl w:val="0"/>
        <w:numPr>
          <w:ilvl w:val="0"/>
          <w:numId w:val="74"/>
        </w:numPr>
        <w:autoSpaceDE w:val="0"/>
        <w:autoSpaceDN w:val="0"/>
        <w:adjustRightInd w:val="0"/>
        <w:spacing w:line="240" w:lineRule="auto"/>
        <w:jc w:val="both"/>
        <w:rPr>
          <w:rFonts w:ascii="Verdana" w:hAnsi="Verdana" w:cs="Arial"/>
        </w:rPr>
      </w:pPr>
      <w:r w:rsidRPr="00CD459A">
        <w:rPr>
          <w:rFonts w:ascii="Verdana" w:hAnsi="Verdana" w:cs="Arial"/>
        </w:rPr>
        <w:t>El ajuste por el incremento en la TRM entre el último día hábil del mes inmediatamente anterior y la TRM del último día hábil del mes objeto de ajuste, sobre el saldo del Fondo de Ahorro y Estabilización – FAE, previa disminución del gasto por el mismo concepto, si existiere; con crédito a la subcuenta 190801 – Recursos entregados en Administración.</w:t>
      </w:r>
    </w:p>
    <w:p w14:paraId="01B78FBB" w14:textId="77777777" w:rsidR="007C7EF4" w:rsidRPr="00CD459A" w:rsidRDefault="007C7EF4" w:rsidP="00AB3D96">
      <w:pPr>
        <w:pStyle w:val="Prrafodelista"/>
        <w:widowControl w:val="0"/>
        <w:numPr>
          <w:ilvl w:val="0"/>
          <w:numId w:val="74"/>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debito a la subcuenta 311001 - Utilidad o excedente del ejercicio cuando los ingresos son superiores a los gastos del periodo, o a la subcuenta 311002 – Déficit del Ejercicio cuando los ingresos son inferiores a los gastos del periodo.</w:t>
      </w:r>
    </w:p>
    <w:p w14:paraId="7A11A537" w14:textId="77777777" w:rsidR="007C7EF4" w:rsidRPr="00CD459A" w:rsidRDefault="007C7EF4" w:rsidP="007C7EF4">
      <w:pPr>
        <w:suppressLineNumbers/>
        <w:tabs>
          <w:tab w:val="left" w:pos="-720"/>
        </w:tabs>
        <w:ind w:left="284" w:hanging="284"/>
        <w:jc w:val="both"/>
        <w:rPr>
          <w:rFonts w:ascii="Verdana" w:hAnsi="Verdana"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2F26F253" w14:textId="77777777" w:rsidTr="003B74CE">
        <w:tc>
          <w:tcPr>
            <w:tcW w:w="1984" w:type="dxa"/>
          </w:tcPr>
          <w:p w14:paraId="11FC163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0EEDD1E5"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5499E65A"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3642CD71" w14:textId="77777777" w:rsidTr="003B74CE">
        <w:tc>
          <w:tcPr>
            <w:tcW w:w="1984" w:type="dxa"/>
          </w:tcPr>
          <w:p w14:paraId="042B15A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03EA3D5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3482" w:type="dxa"/>
          </w:tcPr>
          <w:p w14:paraId="4C3F5F96"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589035</w:t>
            </w:r>
          </w:p>
        </w:tc>
      </w:tr>
      <w:tr w:rsidR="00CD459A" w:rsidRPr="00CD459A" w14:paraId="73BA4162" w14:textId="77777777" w:rsidTr="003B74CE">
        <w:tc>
          <w:tcPr>
            <w:tcW w:w="1984" w:type="dxa"/>
          </w:tcPr>
          <w:p w14:paraId="3BD03A9F"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3E65C60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3482" w:type="dxa"/>
          </w:tcPr>
          <w:p w14:paraId="616B7D7E"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PÉRDIDA EN DERECHOS EN FIDEICOMISO</w:t>
            </w:r>
          </w:p>
        </w:tc>
      </w:tr>
    </w:tbl>
    <w:p w14:paraId="4B6B3B0C" w14:textId="77777777" w:rsidR="007C7EF4" w:rsidRPr="00CD459A" w:rsidRDefault="007C7EF4" w:rsidP="007C7EF4">
      <w:pPr>
        <w:suppressLineNumbers/>
        <w:tabs>
          <w:tab w:val="left" w:pos="-720"/>
        </w:tabs>
        <w:ind w:left="284" w:hanging="284"/>
        <w:jc w:val="both"/>
        <w:rPr>
          <w:rFonts w:ascii="Verdana" w:hAnsi="Verdana" w:cs="Arial"/>
        </w:rPr>
      </w:pPr>
    </w:p>
    <w:p w14:paraId="014FA846" w14:textId="115F5591"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DESCRIPCIÓN</w:t>
      </w:r>
    </w:p>
    <w:p w14:paraId="67F73F7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las pérdidas generadas por el Fondo de Ahorro y Estabilización – FAE reportadas por el Banco de la República, entidad encargada de administrar el fideicomiso.</w:t>
      </w:r>
    </w:p>
    <w:p w14:paraId="134BE294" w14:textId="77777777" w:rsidR="007C7EF4" w:rsidRPr="00CD459A" w:rsidRDefault="007C7EF4" w:rsidP="007C7EF4">
      <w:pPr>
        <w:suppressLineNumbers/>
        <w:tabs>
          <w:tab w:val="left" w:pos="-720"/>
        </w:tabs>
        <w:ind w:left="284" w:hanging="284"/>
        <w:jc w:val="both"/>
        <w:rPr>
          <w:rFonts w:ascii="Verdana" w:hAnsi="Verdana" w:cs="Arial"/>
        </w:rPr>
      </w:pPr>
    </w:p>
    <w:p w14:paraId="6DA1F62F" w14:textId="7FDB0BC4"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MEDICIÓN</w:t>
      </w:r>
    </w:p>
    <w:p w14:paraId="796E6DD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que resulte de multiplicar el valor de pérdidas reportado mensualmente por el Banco de la República por la TRM del último día hábil del mes objeto de reporte.</w:t>
      </w:r>
    </w:p>
    <w:p w14:paraId="1C78F294" w14:textId="77777777" w:rsidR="007C7EF4" w:rsidRPr="00CD459A" w:rsidRDefault="007C7EF4" w:rsidP="007C7EF4">
      <w:pPr>
        <w:suppressLineNumbers/>
        <w:tabs>
          <w:tab w:val="left" w:pos="-720"/>
        </w:tabs>
        <w:ind w:left="284" w:hanging="284"/>
        <w:jc w:val="both"/>
        <w:rPr>
          <w:rFonts w:ascii="Verdana" w:hAnsi="Verdana" w:cs="Arial"/>
        </w:rPr>
      </w:pPr>
    </w:p>
    <w:p w14:paraId="5A4BBE3A" w14:textId="11625CCB"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26CD8E10"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Reporte de Evolución de Ahorros por participe descargado de la plataforma del Banco de la Republica.</w:t>
      </w:r>
    </w:p>
    <w:p w14:paraId="36CFD13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TRM</w:t>
      </w:r>
    </w:p>
    <w:p w14:paraId="5D9AA0F8" w14:textId="77777777" w:rsidR="007C7EF4" w:rsidRPr="00CD459A" w:rsidRDefault="007C7EF4" w:rsidP="007C7EF4">
      <w:pPr>
        <w:suppressLineNumbers/>
        <w:tabs>
          <w:tab w:val="left" w:pos="-720"/>
        </w:tabs>
        <w:ind w:left="284" w:hanging="284"/>
        <w:jc w:val="both"/>
        <w:rPr>
          <w:rFonts w:ascii="Verdana" w:hAnsi="Verdana" w:cs="Arial"/>
        </w:rPr>
      </w:pPr>
    </w:p>
    <w:p w14:paraId="713563E5" w14:textId="4A24C65F"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28464A4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compara el saldo de la cuenta, frente a la pérdida total en el periodo del reporte descargado de la plataforma del Banco de la República, Evolución de Ahorros por participe, expresado en pesos colombianos a la TRM del último día del periodo determinado.  </w:t>
      </w:r>
    </w:p>
    <w:p w14:paraId="2B9BF922" w14:textId="77777777" w:rsidR="007C7EF4" w:rsidRPr="00CD459A" w:rsidRDefault="007C7EF4" w:rsidP="007C7EF4">
      <w:pPr>
        <w:suppressLineNumbers/>
        <w:tabs>
          <w:tab w:val="left" w:pos="-720"/>
        </w:tabs>
        <w:ind w:left="284" w:hanging="284"/>
        <w:jc w:val="both"/>
        <w:rPr>
          <w:rFonts w:ascii="Verdana" w:hAnsi="Verdana" w:cs="Arial"/>
        </w:rPr>
      </w:pPr>
    </w:p>
    <w:p w14:paraId="41CE62A4" w14:textId="46B28854"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REVELACIONES</w:t>
      </w:r>
    </w:p>
    <w:p w14:paraId="25AB146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de la utilidad o pérdida de cada mes del año fiscal en dólares americanos, la TRM del último día hábil y el valor equivalente en pesos.</w:t>
      </w:r>
    </w:p>
    <w:p w14:paraId="2F39AF2C" w14:textId="77777777" w:rsidR="007C7EF4" w:rsidRPr="00CD459A" w:rsidRDefault="007C7EF4" w:rsidP="007C7EF4">
      <w:pPr>
        <w:suppressLineNumbers/>
        <w:tabs>
          <w:tab w:val="left" w:pos="-720"/>
        </w:tabs>
        <w:jc w:val="both"/>
        <w:rPr>
          <w:rFonts w:ascii="Verdana" w:hAnsi="Verdana" w:cs="Arial"/>
        </w:rPr>
      </w:pPr>
    </w:p>
    <w:p w14:paraId="5301EDF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0C132BC6" w14:textId="77777777" w:rsidR="007C7EF4" w:rsidRPr="00CD459A" w:rsidRDefault="007C7EF4" w:rsidP="007C7EF4">
      <w:pPr>
        <w:suppressLineNumbers/>
        <w:tabs>
          <w:tab w:val="left" w:pos="-720"/>
        </w:tabs>
        <w:ind w:left="284" w:hanging="284"/>
        <w:jc w:val="both"/>
        <w:rPr>
          <w:rFonts w:ascii="Verdana" w:hAnsi="Verdana" w:cs="Arial"/>
        </w:rPr>
      </w:pPr>
    </w:p>
    <w:p w14:paraId="5682F4E3"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78F99DE0" w14:textId="77777777" w:rsidR="007C7EF4" w:rsidRPr="00CD459A" w:rsidRDefault="007C7EF4" w:rsidP="007C7EF4">
      <w:pPr>
        <w:pStyle w:val="Prrafodelista"/>
        <w:widowControl w:val="0"/>
        <w:autoSpaceDE w:val="0"/>
        <w:autoSpaceDN w:val="0"/>
        <w:adjustRightInd w:val="0"/>
        <w:ind w:left="426"/>
        <w:jc w:val="both"/>
        <w:rPr>
          <w:rFonts w:ascii="Verdana" w:hAnsi="Verdana" w:cs="Arial"/>
        </w:rPr>
      </w:pPr>
    </w:p>
    <w:p w14:paraId="1B2A8C6B" w14:textId="77777777" w:rsidR="007C7EF4" w:rsidRDefault="007C7EF4" w:rsidP="00AB3D96">
      <w:pPr>
        <w:pStyle w:val="Prrafodelista"/>
        <w:widowControl w:val="0"/>
        <w:numPr>
          <w:ilvl w:val="0"/>
          <w:numId w:val="75"/>
        </w:numPr>
        <w:autoSpaceDE w:val="0"/>
        <w:autoSpaceDN w:val="0"/>
        <w:adjustRightInd w:val="0"/>
        <w:spacing w:line="240" w:lineRule="auto"/>
        <w:jc w:val="both"/>
        <w:rPr>
          <w:rFonts w:ascii="Verdana" w:hAnsi="Verdana" w:cs="Arial"/>
        </w:rPr>
      </w:pPr>
      <w:r w:rsidRPr="00CD459A">
        <w:rPr>
          <w:rFonts w:ascii="Verdana" w:hAnsi="Verdana" w:cs="Arial"/>
        </w:rPr>
        <w:t>La pérdida del Fondo de Ahorro y estabilización – FAE equivalente en pesos, hasta por el saldo que existe en esta subcuenta, con crédito a la subcuenta 190801 – Recursos entregados en Administración.</w:t>
      </w:r>
    </w:p>
    <w:p w14:paraId="31989C57" w14:textId="77777777" w:rsidR="00DA3A85" w:rsidRPr="00CD459A" w:rsidRDefault="00DA3A85" w:rsidP="00DA3A85">
      <w:pPr>
        <w:pStyle w:val="Prrafodelista"/>
        <w:widowControl w:val="0"/>
        <w:autoSpaceDE w:val="0"/>
        <w:autoSpaceDN w:val="0"/>
        <w:adjustRightInd w:val="0"/>
        <w:spacing w:line="240" w:lineRule="auto"/>
        <w:jc w:val="both"/>
        <w:rPr>
          <w:rFonts w:ascii="Verdana" w:hAnsi="Verdana" w:cs="Arial"/>
        </w:rPr>
      </w:pPr>
    </w:p>
    <w:p w14:paraId="6CDCC17B" w14:textId="68582AF4" w:rsidR="007C7EF4" w:rsidRPr="00DA3A85"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6BF77DF2" w14:textId="77777777" w:rsidR="007C7EF4" w:rsidRPr="00CD459A" w:rsidRDefault="007C7EF4" w:rsidP="00AB3D96">
      <w:pPr>
        <w:pStyle w:val="Prrafodelista"/>
        <w:widowControl w:val="0"/>
        <w:numPr>
          <w:ilvl w:val="0"/>
          <w:numId w:val="76"/>
        </w:numPr>
        <w:autoSpaceDE w:val="0"/>
        <w:autoSpaceDN w:val="0"/>
        <w:adjustRightInd w:val="0"/>
        <w:spacing w:line="240" w:lineRule="auto"/>
        <w:jc w:val="both"/>
        <w:rPr>
          <w:rFonts w:ascii="Verdana" w:hAnsi="Verdana" w:cs="Arial"/>
        </w:rPr>
      </w:pPr>
      <w:r w:rsidRPr="00CD459A">
        <w:rPr>
          <w:rFonts w:ascii="Verdana" w:hAnsi="Verdana" w:cs="Arial"/>
        </w:rPr>
        <w:t>La utilidad del Fondo de Ahorro y estabilización – FAE equivalente en pesos del mes, hasta por el saldo que existe en esta subcuenta, con debito a la subcuenta 190801 – Recursos entregados en Administración.</w:t>
      </w:r>
    </w:p>
    <w:p w14:paraId="10A7AD45" w14:textId="77777777" w:rsidR="007C7EF4" w:rsidRPr="00CD459A" w:rsidRDefault="007C7EF4" w:rsidP="00AB3D96">
      <w:pPr>
        <w:pStyle w:val="Prrafodelista"/>
        <w:widowControl w:val="0"/>
        <w:numPr>
          <w:ilvl w:val="0"/>
          <w:numId w:val="76"/>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311001 - Utilidad o excedente del ejercicio cuando los ingresos son superiores a los gastos del periodo, o a la subcuenta 311002 – Déficit del Ejercicio cuando los ingresos son inferiores a los gastos del periodo.</w:t>
      </w:r>
    </w:p>
    <w:p w14:paraId="0BAEE964" w14:textId="77777777" w:rsidR="007C7EF4" w:rsidRPr="00CD459A" w:rsidRDefault="007C7EF4" w:rsidP="007C7EF4">
      <w:pPr>
        <w:pStyle w:val="Prrafodelista"/>
        <w:widowControl w:val="0"/>
        <w:autoSpaceDE w:val="0"/>
        <w:autoSpaceDN w:val="0"/>
        <w:adjustRightInd w:val="0"/>
        <w:jc w:val="both"/>
        <w:rPr>
          <w:rFonts w:ascii="Verdana" w:hAnsi="Verdana" w:cs="Arial"/>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7"/>
        <w:gridCol w:w="2147"/>
        <w:gridCol w:w="4829"/>
      </w:tblGrid>
      <w:tr w:rsidR="00CD459A" w:rsidRPr="00CD459A" w14:paraId="4B8A9EF6" w14:textId="77777777" w:rsidTr="003B74CE">
        <w:trPr>
          <w:trHeight w:val="387"/>
        </w:trPr>
        <w:tc>
          <w:tcPr>
            <w:tcW w:w="2007" w:type="dxa"/>
          </w:tcPr>
          <w:p w14:paraId="503C5314"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2147" w:type="dxa"/>
          </w:tcPr>
          <w:p w14:paraId="354C177C"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4829" w:type="dxa"/>
          </w:tcPr>
          <w:p w14:paraId="432DB52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CUENTA</w:t>
            </w:r>
          </w:p>
        </w:tc>
      </w:tr>
      <w:tr w:rsidR="00CD459A" w:rsidRPr="00CD459A" w14:paraId="33A62B13" w14:textId="77777777" w:rsidTr="003B74CE">
        <w:trPr>
          <w:trHeight w:val="365"/>
        </w:trPr>
        <w:tc>
          <w:tcPr>
            <w:tcW w:w="2007" w:type="dxa"/>
          </w:tcPr>
          <w:p w14:paraId="2001136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2147" w:type="dxa"/>
          </w:tcPr>
          <w:p w14:paraId="6451BCDE"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4829" w:type="dxa"/>
          </w:tcPr>
          <w:p w14:paraId="2EC76CD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589015</w:t>
            </w:r>
          </w:p>
        </w:tc>
      </w:tr>
      <w:tr w:rsidR="00CD459A" w:rsidRPr="00CD459A" w14:paraId="008570D5" w14:textId="77777777" w:rsidTr="003B74CE">
        <w:trPr>
          <w:trHeight w:val="753"/>
        </w:trPr>
        <w:tc>
          <w:tcPr>
            <w:tcW w:w="2007" w:type="dxa"/>
          </w:tcPr>
          <w:p w14:paraId="08CF44A2"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INGRESOS</w:t>
            </w:r>
          </w:p>
        </w:tc>
        <w:tc>
          <w:tcPr>
            <w:tcW w:w="2147" w:type="dxa"/>
          </w:tcPr>
          <w:p w14:paraId="1288AE5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4829" w:type="dxa"/>
          </w:tcPr>
          <w:p w14:paraId="20949E31"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 xml:space="preserve">MARGEN EN LA COMERCIALIZACION DE BIENES Y SERVICIOS </w:t>
            </w:r>
          </w:p>
        </w:tc>
      </w:tr>
    </w:tbl>
    <w:p w14:paraId="1A46433E" w14:textId="77777777" w:rsidR="007C7EF4" w:rsidRPr="00CD459A" w:rsidRDefault="007C7EF4" w:rsidP="007C7EF4">
      <w:pPr>
        <w:suppressLineNumbers/>
        <w:tabs>
          <w:tab w:val="left" w:pos="-720"/>
        </w:tabs>
        <w:ind w:left="284" w:hanging="284"/>
        <w:jc w:val="both"/>
        <w:rPr>
          <w:rFonts w:ascii="Verdana" w:hAnsi="Verdana" w:cs="Arial"/>
        </w:rPr>
      </w:pPr>
    </w:p>
    <w:p w14:paraId="37031446" w14:textId="268C1D99"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DESCRIPCIÓN</w:t>
      </w:r>
    </w:p>
    <w:p w14:paraId="0C2D8A9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de esta subcuenta representa el valor de la diferencia entre el precio base de liquidación de la Regalias y el precio de la comercialización.</w:t>
      </w:r>
    </w:p>
    <w:p w14:paraId="4A2AE48D" w14:textId="77777777" w:rsidR="007C7EF4" w:rsidRPr="00CD459A" w:rsidRDefault="007C7EF4" w:rsidP="007C7EF4">
      <w:pPr>
        <w:suppressLineNumbers/>
        <w:tabs>
          <w:tab w:val="left" w:pos="-720"/>
        </w:tabs>
        <w:ind w:left="284" w:hanging="284"/>
        <w:jc w:val="both"/>
        <w:rPr>
          <w:rFonts w:ascii="Verdana" w:hAnsi="Verdana" w:cs="Arial"/>
        </w:rPr>
      </w:pPr>
    </w:p>
    <w:p w14:paraId="038DABC8" w14:textId="1CBD55AA"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6D03CD8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Certificación Agencia Nacional de Hidrocarburos </w:t>
      </w:r>
    </w:p>
    <w:p w14:paraId="45F0A4E3" w14:textId="77777777" w:rsidR="007C7EF4" w:rsidRPr="00CD459A" w:rsidRDefault="007C7EF4" w:rsidP="007C7EF4">
      <w:pPr>
        <w:suppressLineNumbers/>
        <w:tabs>
          <w:tab w:val="left" w:pos="-720"/>
        </w:tabs>
        <w:ind w:left="284" w:hanging="284"/>
        <w:jc w:val="both"/>
        <w:rPr>
          <w:rFonts w:ascii="Verdana" w:hAnsi="Verdana" w:cs="Arial"/>
        </w:rPr>
      </w:pPr>
    </w:p>
    <w:p w14:paraId="5C88897E" w14:textId="0C892147"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7D0F930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con el valor certificado por la Agencia por concepto de margen de comercialización. </w:t>
      </w:r>
    </w:p>
    <w:p w14:paraId="5988F8E4" w14:textId="77777777" w:rsidR="007C7EF4" w:rsidRPr="00CD459A" w:rsidRDefault="007C7EF4" w:rsidP="007C7EF4">
      <w:pPr>
        <w:suppressLineNumbers/>
        <w:tabs>
          <w:tab w:val="left" w:pos="-720"/>
        </w:tabs>
        <w:ind w:left="284" w:hanging="284"/>
        <w:jc w:val="both"/>
        <w:rPr>
          <w:rFonts w:ascii="Verdana" w:hAnsi="Verdana" w:cs="Arial"/>
        </w:rPr>
      </w:pPr>
    </w:p>
    <w:p w14:paraId="6CB1788B" w14:textId="03CE4F1A"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MEDICIÓN</w:t>
      </w:r>
    </w:p>
    <w:p w14:paraId="6F6A6EC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registro contable para afectar esta subcuenta se realiza por el valor certificado por la Agencia Nacional de Hidrocarburos.</w:t>
      </w:r>
    </w:p>
    <w:p w14:paraId="0AE7814E" w14:textId="77777777" w:rsidR="007C7EF4" w:rsidRPr="00CD459A" w:rsidRDefault="007C7EF4" w:rsidP="00DA3A85">
      <w:pPr>
        <w:suppressLineNumbers/>
        <w:tabs>
          <w:tab w:val="left" w:pos="-720"/>
        </w:tabs>
        <w:jc w:val="both"/>
        <w:rPr>
          <w:rFonts w:ascii="Verdana" w:hAnsi="Verdana" w:cs="Arial"/>
        </w:rPr>
      </w:pPr>
    </w:p>
    <w:p w14:paraId="4AFD5A42" w14:textId="29B7D593"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REVELACIONES</w:t>
      </w:r>
    </w:p>
    <w:p w14:paraId="747C83B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subcuenta se revela el valor concepto de margen de comercialización.</w:t>
      </w:r>
    </w:p>
    <w:p w14:paraId="67D71432" w14:textId="77777777" w:rsidR="007C7EF4" w:rsidRPr="00CD459A" w:rsidRDefault="007C7EF4" w:rsidP="007C7EF4">
      <w:pPr>
        <w:suppressLineNumbers/>
        <w:tabs>
          <w:tab w:val="left" w:pos="-720"/>
        </w:tabs>
        <w:jc w:val="both"/>
        <w:rPr>
          <w:rFonts w:ascii="Verdana" w:hAnsi="Verdana" w:cs="Arial"/>
        </w:rPr>
      </w:pPr>
    </w:p>
    <w:p w14:paraId="412EABE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3685089E" w14:textId="77777777" w:rsidR="007C7EF4" w:rsidRPr="00CD459A" w:rsidRDefault="007C7EF4" w:rsidP="007C7EF4">
      <w:pPr>
        <w:suppressLineNumbers/>
        <w:tabs>
          <w:tab w:val="left" w:pos="-720"/>
        </w:tabs>
        <w:ind w:left="284" w:hanging="284"/>
        <w:jc w:val="both"/>
        <w:rPr>
          <w:rFonts w:ascii="Verdana" w:hAnsi="Verdana" w:cs="Arial"/>
        </w:rPr>
      </w:pPr>
    </w:p>
    <w:p w14:paraId="61FC7A9B" w14:textId="61F5B1EE" w:rsidR="007C7EF4" w:rsidRPr="00DA3A85" w:rsidRDefault="007C7EF4" w:rsidP="00DA3A85">
      <w:pPr>
        <w:widowControl w:val="0"/>
        <w:autoSpaceDE w:val="0"/>
        <w:autoSpaceDN w:val="0"/>
        <w:adjustRightInd w:val="0"/>
        <w:jc w:val="both"/>
        <w:rPr>
          <w:rFonts w:ascii="Verdana" w:hAnsi="Verdana" w:cs="Arial"/>
        </w:rPr>
      </w:pPr>
      <w:r w:rsidRPr="00CD459A">
        <w:rPr>
          <w:rFonts w:ascii="Verdana" w:hAnsi="Verdana" w:cs="Arial"/>
          <w:bCs/>
        </w:rPr>
        <w:t>SE DEBITA CON</w:t>
      </w:r>
      <w:r w:rsidR="00DA3A85">
        <w:rPr>
          <w:rFonts w:ascii="Verdana" w:hAnsi="Verdana" w:cs="Arial"/>
        </w:rPr>
        <w:t>:</w:t>
      </w:r>
    </w:p>
    <w:p w14:paraId="2DF86CBE" w14:textId="77777777" w:rsidR="007C7EF4" w:rsidRDefault="007C7EF4" w:rsidP="00AB3D96">
      <w:pPr>
        <w:pStyle w:val="Prrafodelista"/>
        <w:numPr>
          <w:ilvl w:val="0"/>
          <w:numId w:val="64"/>
        </w:numPr>
        <w:suppressLineNumbers/>
        <w:tabs>
          <w:tab w:val="left" w:pos="-720"/>
        </w:tabs>
        <w:spacing w:line="240" w:lineRule="auto"/>
        <w:jc w:val="both"/>
        <w:rPr>
          <w:rFonts w:ascii="Verdana" w:hAnsi="Verdana" w:cs="Arial"/>
        </w:rPr>
      </w:pPr>
      <w:r w:rsidRPr="00CD459A">
        <w:rPr>
          <w:rFonts w:ascii="Verdana" w:hAnsi="Verdana" w:cs="Arial"/>
        </w:rPr>
        <w:t>El valor de la diferencia entre el precio base de liquidación de la Regalias y el precio de la comercialización.</w:t>
      </w:r>
    </w:p>
    <w:p w14:paraId="5A15A4AA" w14:textId="77777777" w:rsidR="00DA3A85" w:rsidRPr="00CD459A" w:rsidRDefault="00DA3A85" w:rsidP="00DA3A85">
      <w:pPr>
        <w:pStyle w:val="Prrafodelista"/>
        <w:suppressLineNumbers/>
        <w:tabs>
          <w:tab w:val="left" w:pos="-720"/>
        </w:tabs>
        <w:spacing w:line="240" w:lineRule="auto"/>
        <w:jc w:val="both"/>
        <w:rPr>
          <w:rFonts w:ascii="Verdana" w:hAnsi="Verdana" w:cs="Arial"/>
        </w:rPr>
      </w:pPr>
    </w:p>
    <w:p w14:paraId="2DD53517" w14:textId="5EFCC41A" w:rsidR="007C7EF4" w:rsidRPr="00DA3A85"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67627C2F" w14:textId="77777777" w:rsidR="007C7EF4" w:rsidRPr="00CD459A" w:rsidRDefault="007C7EF4" w:rsidP="00AB3D96">
      <w:pPr>
        <w:pStyle w:val="Prrafodelista"/>
        <w:widowControl w:val="0"/>
        <w:numPr>
          <w:ilvl w:val="0"/>
          <w:numId w:val="64"/>
        </w:numPr>
        <w:autoSpaceDE w:val="0"/>
        <w:autoSpaceDN w:val="0"/>
        <w:adjustRightInd w:val="0"/>
        <w:spacing w:line="240" w:lineRule="auto"/>
        <w:jc w:val="both"/>
        <w:rPr>
          <w:rFonts w:ascii="Verdana" w:hAnsi="Verdana" w:cs="Arial"/>
        </w:rPr>
      </w:pPr>
      <w:r w:rsidRPr="00CD459A">
        <w:rPr>
          <w:rFonts w:ascii="Verdana" w:hAnsi="Verdana" w:cs="Arial"/>
        </w:rPr>
        <w:t>El valor de la cancelación de su saldo al final del periodo contable, con crédito a la subcuenta 590501- Cierre de ingresos gastos y costos.</w:t>
      </w:r>
    </w:p>
    <w:p w14:paraId="48430631" w14:textId="77777777" w:rsidR="007C7EF4" w:rsidRPr="00CD459A" w:rsidRDefault="007C7EF4" w:rsidP="007C7EF4">
      <w:pPr>
        <w:pStyle w:val="Prrafodelista"/>
        <w:suppressLineNumbers/>
        <w:tabs>
          <w:tab w:val="left" w:pos="-720"/>
        </w:tabs>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6A981088" w14:textId="77777777" w:rsidTr="003B74CE">
        <w:tc>
          <w:tcPr>
            <w:tcW w:w="1984" w:type="dxa"/>
          </w:tcPr>
          <w:p w14:paraId="4E516DF3"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CLASE</w:t>
            </w:r>
          </w:p>
        </w:tc>
        <w:tc>
          <w:tcPr>
            <w:tcW w:w="3413" w:type="dxa"/>
          </w:tcPr>
          <w:p w14:paraId="24F3EF8D"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GRUPO</w:t>
            </w:r>
          </w:p>
        </w:tc>
        <w:tc>
          <w:tcPr>
            <w:tcW w:w="3482" w:type="dxa"/>
          </w:tcPr>
          <w:p w14:paraId="3D39B9C2" w14:textId="77777777" w:rsidR="007C7EF4" w:rsidRPr="00CD459A" w:rsidRDefault="007C7EF4" w:rsidP="003B74CE">
            <w:pPr>
              <w:widowControl w:val="0"/>
              <w:autoSpaceDE w:val="0"/>
              <w:autoSpaceDN w:val="0"/>
              <w:adjustRightInd w:val="0"/>
              <w:jc w:val="center"/>
              <w:rPr>
                <w:rFonts w:ascii="Verdana" w:hAnsi="Verdana" w:cs="Arial"/>
                <w:b/>
              </w:rPr>
            </w:pPr>
            <w:r w:rsidRPr="00CD459A">
              <w:rPr>
                <w:rFonts w:ascii="Verdana" w:hAnsi="Verdana" w:cs="Arial"/>
                <w:b/>
              </w:rPr>
              <w:t>SUBCUENTA</w:t>
            </w:r>
          </w:p>
        </w:tc>
      </w:tr>
      <w:tr w:rsidR="00CD459A" w:rsidRPr="00CD459A" w14:paraId="79D2A62B" w14:textId="77777777" w:rsidTr="003B74CE">
        <w:tc>
          <w:tcPr>
            <w:tcW w:w="1984" w:type="dxa"/>
          </w:tcPr>
          <w:p w14:paraId="66BF0F11"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w:t>
            </w:r>
          </w:p>
        </w:tc>
        <w:tc>
          <w:tcPr>
            <w:tcW w:w="3413" w:type="dxa"/>
          </w:tcPr>
          <w:p w14:paraId="4AB1DAF6"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58</w:t>
            </w:r>
          </w:p>
        </w:tc>
        <w:tc>
          <w:tcPr>
            <w:tcW w:w="3482" w:type="dxa"/>
          </w:tcPr>
          <w:p w14:paraId="2429FCC4"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589090</w:t>
            </w:r>
          </w:p>
        </w:tc>
      </w:tr>
      <w:tr w:rsidR="00CD459A" w:rsidRPr="00CD459A" w14:paraId="4340D16F" w14:textId="77777777" w:rsidTr="003B74CE">
        <w:tc>
          <w:tcPr>
            <w:tcW w:w="1984" w:type="dxa"/>
          </w:tcPr>
          <w:p w14:paraId="213DBDF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GASTOS</w:t>
            </w:r>
          </w:p>
        </w:tc>
        <w:tc>
          <w:tcPr>
            <w:tcW w:w="3413" w:type="dxa"/>
          </w:tcPr>
          <w:p w14:paraId="58ACF6B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OTROS GASTOS</w:t>
            </w:r>
          </w:p>
        </w:tc>
        <w:tc>
          <w:tcPr>
            <w:tcW w:w="3482" w:type="dxa"/>
          </w:tcPr>
          <w:p w14:paraId="7E815903"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OTROS GASTOS DIVERSOS</w:t>
            </w:r>
          </w:p>
        </w:tc>
      </w:tr>
    </w:tbl>
    <w:p w14:paraId="28AF6738" w14:textId="77777777" w:rsidR="007C7EF4" w:rsidRPr="00CD459A" w:rsidRDefault="007C7EF4" w:rsidP="007C7EF4">
      <w:pPr>
        <w:suppressLineNumbers/>
        <w:tabs>
          <w:tab w:val="left" w:pos="-720"/>
        </w:tabs>
        <w:ind w:left="284" w:hanging="284"/>
        <w:jc w:val="both"/>
        <w:rPr>
          <w:rFonts w:ascii="Verdana" w:hAnsi="Verdana" w:cs="Arial"/>
        </w:rPr>
      </w:pPr>
    </w:p>
    <w:p w14:paraId="6C17854A" w14:textId="77777777" w:rsidR="007C7EF4" w:rsidRPr="00CD459A" w:rsidRDefault="007C7EF4" w:rsidP="007C7EF4">
      <w:pPr>
        <w:suppressLineNumbers/>
        <w:tabs>
          <w:tab w:val="left" w:pos="-720"/>
        </w:tabs>
        <w:ind w:left="284" w:hanging="284"/>
        <w:jc w:val="both"/>
        <w:rPr>
          <w:rFonts w:ascii="Verdana" w:hAnsi="Verdana" w:cs="Arial"/>
        </w:rPr>
      </w:pPr>
    </w:p>
    <w:p w14:paraId="5D615FB1" w14:textId="77777777" w:rsidR="007C7EF4" w:rsidRPr="00CD459A" w:rsidRDefault="007C7EF4" w:rsidP="007C7EF4">
      <w:pPr>
        <w:suppressLineNumbers/>
        <w:tabs>
          <w:tab w:val="left" w:pos="-720"/>
        </w:tabs>
        <w:ind w:left="284" w:hanging="284"/>
        <w:jc w:val="both"/>
        <w:rPr>
          <w:rFonts w:ascii="Verdana" w:hAnsi="Verdana" w:cs="Arial"/>
        </w:rPr>
      </w:pPr>
    </w:p>
    <w:p w14:paraId="7BA0F438" w14:textId="77777777" w:rsidR="007C7EF4" w:rsidRPr="00CD459A" w:rsidRDefault="007C7EF4" w:rsidP="007C7EF4">
      <w:pPr>
        <w:suppressLineNumbers/>
        <w:tabs>
          <w:tab w:val="left" w:pos="-720"/>
        </w:tabs>
        <w:ind w:left="284" w:hanging="284"/>
        <w:jc w:val="both"/>
        <w:rPr>
          <w:rFonts w:ascii="Verdana" w:hAnsi="Verdana" w:cs="Arial"/>
        </w:rPr>
      </w:pPr>
    </w:p>
    <w:p w14:paraId="116AC75D" w14:textId="07518F8D"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DESCRIPCIÓN</w:t>
      </w:r>
    </w:p>
    <w:p w14:paraId="486EF94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En esta cuenta se clasifican las operaciones que afectan cuentas de gastos que no tienen una subcuenta específica. Las operaciones que generan registros más importantes y que se afectan corresponden a ajustes de vigencias contables anteriores. </w:t>
      </w:r>
    </w:p>
    <w:p w14:paraId="645DDF00" w14:textId="77777777" w:rsidR="007C7EF4" w:rsidRPr="00CD459A" w:rsidRDefault="007C7EF4" w:rsidP="007C7EF4">
      <w:pPr>
        <w:suppressLineNumbers/>
        <w:tabs>
          <w:tab w:val="left" w:pos="-720"/>
        </w:tabs>
        <w:jc w:val="both"/>
        <w:rPr>
          <w:rFonts w:ascii="Verdana" w:hAnsi="Verdana" w:cs="Arial"/>
        </w:rPr>
      </w:pPr>
    </w:p>
    <w:p w14:paraId="548748B7" w14:textId="32B2902B"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MEDICIÓN</w:t>
      </w:r>
    </w:p>
    <w:p w14:paraId="64FD73A4"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los registros que afectan esta subcuenta corresponde al valor de la operación que da origen al ajuste.</w:t>
      </w:r>
    </w:p>
    <w:p w14:paraId="6A4A36AA" w14:textId="77777777" w:rsidR="007C7EF4" w:rsidRPr="00CD459A" w:rsidRDefault="007C7EF4" w:rsidP="007C7EF4">
      <w:pPr>
        <w:suppressLineNumbers/>
        <w:tabs>
          <w:tab w:val="left" w:pos="-720"/>
        </w:tabs>
        <w:ind w:left="284" w:hanging="284"/>
        <w:jc w:val="both"/>
        <w:rPr>
          <w:rFonts w:ascii="Verdana" w:hAnsi="Verdana" w:cs="Arial"/>
        </w:rPr>
      </w:pPr>
    </w:p>
    <w:p w14:paraId="31E01C9B" w14:textId="4DA0F3B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FUENTES DE INFORMACIÓN </w:t>
      </w:r>
    </w:p>
    <w:p w14:paraId="7DB63FC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Solicitud de devolución de recursos, transferidos al Sistema General de Regalias en vigencias anteriores.</w:t>
      </w:r>
    </w:p>
    <w:p w14:paraId="53B9641F" w14:textId="77777777" w:rsidR="007C7EF4" w:rsidRPr="00CD459A" w:rsidRDefault="007C7EF4" w:rsidP="007C7EF4">
      <w:pPr>
        <w:suppressLineNumbers/>
        <w:tabs>
          <w:tab w:val="left" w:pos="-720"/>
        </w:tabs>
        <w:jc w:val="both"/>
        <w:rPr>
          <w:rFonts w:ascii="Verdana" w:hAnsi="Verdana" w:cs="Arial"/>
        </w:rPr>
      </w:pPr>
    </w:p>
    <w:p w14:paraId="43B17B33" w14:textId="2CAF3E0F"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CONCILIACIÓN </w:t>
      </w:r>
    </w:p>
    <w:p w14:paraId="0AD02CC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Se compra el saldo contable con diferentes fuentes de información.  </w:t>
      </w:r>
    </w:p>
    <w:p w14:paraId="6F5241DA" w14:textId="77777777" w:rsidR="007C7EF4" w:rsidRPr="00CD459A" w:rsidRDefault="007C7EF4" w:rsidP="007C7EF4">
      <w:pPr>
        <w:suppressLineNumbers/>
        <w:tabs>
          <w:tab w:val="left" w:pos="-720"/>
        </w:tabs>
        <w:ind w:left="284" w:hanging="284"/>
        <w:jc w:val="both"/>
        <w:rPr>
          <w:rFonts w:ascii="Verdana" w:hAnsi="Verdana" w:cs="Arial"/>
        </w:rPr>
      </w:pPr>
    </w:p>
    <w:p w14:paraId="61C70CE3" w14:textId="51087C9A"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REVELACIONES</w:t>
      </w:r>
    </w:p>
    <w:p w14:paraId="2C464F5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subcuenta se revela el concepto de las operaciones que originaron los ajustes y el valor discriminado por tercero con su participación porcentual respecto al saldo de la subcuenta. </w:t>
      </w:r>
    </w:p>
    <w:p w14:paraId="205F4FAB" w14:textId="77777777" w:rsidR="007C7EF4" w:rsidRPr="00CD459A" w:rsidRDefault="007C7EF4" w:rsidP="007C7EF4">
      <w:pPr>
        <w:suppressLineNumbers/>
        <w:tabs>
          <w:tab w:val="left" w:pos="-720"/>
        </w:tabs>
        <w:ind w:left="284" w:hanging="284"/>
        <w:jc w:val="both"/>
        <w:rPr>
          <w:rFonts w:ascii="Verdana" w:hAnsi="Verdana" w:cs="Arial"/>
        </w:rPr>
      </w:pPr>
    </w:p>
    <w:p w14:paraId="0380256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6275819" w14:textId="77777777" w:rsidR="007C7EF4" w:rsidRPr="00CD459A" w:rsidRDefault="007C7EF4" w:rsidP="007C7EF4">
      <w:pPr>
        <w:suppressLineNumbers/>
        <w:tabs>
          <w:tab w:val="left" w:pos="-720"/>
        </w:tabs>
        <w:ind w:left="284" w:hanging="284"/>
        <w:jc w:val="both"/>
        <w:rPr>
          <w:rFonts w:ascii="Verdana" w:hAnsi="Verdana" w:cs="Arial"/>
        </w:rPr>
      </w:pPr>
    </w:p>
    <w:p w14:paraId="5474A7ED" w14:textId="23899457"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SE DEBITA CON:</w:t>
      </w:r>
    </w:p>
    <w:p w14:paraId="1A5B0545" w14:textId="77777777" w:rsidR="007C7EF4" w:rsidRPr="00CD459A" w:rsidRDefault="007C7EF4" w:rsidP="00AB3D96">
      <w:pPr>
        <w:pStyle w:val="Prrafodelista"/>
        <w:numPr>
          <w:ilvl w:val="0"/>
          <w:numId w:val="77"/>
        </w:numPr>
        <w:suppressLineNumbers/>
        <w:tabs>
          <w:tab w:val="left" w:pos="-720"/>
        </w:tabs>
        <w:spacing w:line="240" w:lineRule="auto"/>
        <w:jc w:val="both"/>
        <w:rPr>
          <w:rFonts w:ascii="Verdana" w:hAnsi="Verdana" w:cs="Arial"/>
        </w:rPr>
      </w:pPr>
      <w:r w:rsidRPr="00CD459A">
        <w:rPr>
          <w:rFonts w:ascii="Verdana" w:hAnsi="Verdana" w:cs="Arial"/>
        </w:rPr>
        <w:t>El valor de la operación que da origen al registro, con crédito a la subcuenta que identifique el concepto de acuerdo con las condiciones propias de cada situación.</w:t>
      </w:r>
    </w:p>
    <w:p w14:paraId="30E5D733" w14:textId="77777777" w:rsidR="007C7EF4" w:rsidRPr="00CD459A" w:rsidRDefault="007C7EF4" w:rsidP="007C7EF4">
      <w:pPr>
        <w:suppressLineNumbers/>
        <w:tabs>
          <w:tab w:val="left" w:pos="-720"/>
        </w:tabs>
        <w:ind w:left="284" w:hanging="284"/>
        <w:jc w:val="both"/>
        <w:rPr>
          <w:rFonts w:ascii="Verdana" w:hAnsi="Verdana" w:cs="Arial"/>
        </w:rPr>
      </w:pPr>
    </w:p>
    <w:p w14:paraId="75248E59" w14:textId="700C8DF7"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SE ACREDITA CON:</w:t>
      </w:r>
    </w:p>
    <w:p w14:paraId="1675F1A2" w14:textId="77777777" w:rsidR="007C7EF4" w:rsidRPr="00CD459A" w:rsidRDefault="007C7EF4" w:rsidP="00AB3D96">
      <w:pPr>
        <w:pStyle w:val="Prrafodelista"/>
        <w:numPr>
          <w:ilvl w:val="0"/>
          <w:numId w:val="78"/>
        </w:numPr>
        <w:suppressLineNumbers/>
        <w:tabs>
          <w:tab w:val="left" w:pos="-720"/>
        </w:tabs>
        <w:spacing w:line="240" w:lineRule="auto"/>
        <w:jc w:val="both"/>
        <w:rPr>
          <w:rFonts w:ascii="Verdana" w:hAnsi="Verdana" w:cs="Arial"/>
        </w:rPr>
      </w:pPr>
      <w:r w:rsidRPr="00CD459A">
        <w:rPr>
          <w:rFonts w:ascii="Verdana" w:hAnsi="Verdana" w:cs="Arial"/>
        </w:rPr>
        <w:t>El valor de la cancelación de su saldo al final del periodo contable, con debito a la subcuenta 311001 - Utilidad o excedente del ejercicio cuando los ingresos son superiores a los gastos del periodo, o a la subcuenta 311002 – Déficit del Ejercicio cuando los ingresos son inferiores a los gastos del periodo.</w:t>
      </w:r>
    </w:p>
    <w:p w14:paraId="45C38CB9" w14:textId="77777777" w:rsidR="007C7EF4" w:rsidRPr="00CD459A" w:rsidRDefault="007C7EF4" w:rsidP="007C7EF4">
      <w:pPr>
        <w:pStyle w:val="Prrafodelista"/>
        <w:suppressLineNumbers/>
        <w:tabs>
          <w:tab w:val="left" w:pos="-720"/>
        </w:tabs>
        <w:jc w:val="both"/>
        <w:rPr>
          <w:rFonts w:ascii="Verdana" w:hAnsi="Verdana" w:cs="Arial"/>
        </w:rPr>
      </w:pPr>
    </w:p>
    <w:p w14:paraId="79FA69DF" w14:textId="77777777" w:rsidR="007C7EF4" w:rsidRPr="00CD459A" w:rsidRDefault="007C7EF4" w:rsidP="007C7EF4">
      <w:pPr>
        <w:pStyle w:val="Prrafodelista"/>
        <w:suppressLineNumbers/>
        <w:tabs>
          <w:tab w:val="left" w:pos="-720"/>
        </w:tabs>
        <w:jc w:val="both"/>
        <w:rPr>
          <w:rFonts w:ascii="Verdana" w:hAnsi="Verdana" w:cs="Arial"/>
        </w:rPr>
      </w:pPr>
    </w:p>
    <w:p w14:paraId="16BC99F5" w14:textId="77777777" w:rsidR="007C7EF4" w:rsidRPr="00CD459A" w:rsidRDefault="007C7EF4" w:rsidP="00AB3D96">
      <w:pPr>
        <w:pStyle w:val="Ttulo2"/>
        <w:keepLines w:val="0"/>
        <w:widowControl w:val="0"/>
        <w:numPr>
          <w:ilvl w:val="1"/>
          <w:numId w:val="19"/>
        </w:numPr>
        <w:spacing w:before="0" w:line="240" w:lineRule="auto"/>
        <w:jc w:val="both"/>
        <w:rPr>
          <w:rFonts w:ascii="Verdana" w:hAnsi="Verdana" w:cs="Arial"/>
          <w:color w:val="auto"/>
          <w:sz w:val="22"/>
          <w:szCs w:val="22"/>
        </w:rPr>
      </w:pPr>
      <w:bookmarkStart w:id="795" w:name="_Toc62483991"/>
      <w:bookmarkStart w:id="796" w:name="_Toc94710277"/>
      <w:r w:rsidRPr="00CD459A">
        <w:rPr>
          <w:rFonts w:ascii="Verdana" w:hAnsi="Verdana" w:cs="Arial"/>
          <w:color w:val="auto"/>
          <w:sz w:val="22"/>
          <w:szCs w:val="22"/>
        </w:rPr>
        <w:t>CUENTAS DE ORDEN ACREEDORAS</w:t>
      </w:r>
      <w:bookmarkEnd w:id="795"/>
      <w:bookmarkEnd w:id="796"/>
    </w:p>
    <w:p w14:paraId="5C6B0EEA" w14:textId="77777777" w:rsidR="007C7EF4" w:rsidRPr="00CD459A" w:rsidRDefault="007C7EF4" w:rsidP="007C7EF4">
      <w:pPr>
        <w:suppressLineNumbers/>
        <w:tabs>
          <w:tab w:val="left" w:pos="-720"/>
        </w:tabs>
        <w:ind w:left="284" w:hanging="284"/>
        <w:jc w:val="both"/>
        <w:rPr>
          <w:rFonts w:ascii="Verdana" w:hAnsi="Verdana" w:cs="Arial"/>
        </w:rPr>
      </w:pPr>
    </w:p>
    <w:tbl>
      <w:tblPr>
        <w:tblW w:w="8776" w:type="dxa"/>
        <w:tblInd w:w="-5" w:type="dxa"/>
        <w:tblLayout w:type="fixed"/>
        <w:tblCellMar>
          <w:left w:w="0" w:type="dxa"/>
          <w:right w:w="0" w:type="dxa"/>
        </w:tblCellMar>
        <w:tblLook w:val="01E0" w:firstRow="1" w:lastRow="1" w:firstColumn="1" w:lastColumn="1" w:noHBand="0" w:noVBand="0"/>
      </w:tblPr>
      <w:tblGrid>
        <w:gridCol w:w="3645"/>
        <w:gridCol w:w="2523"/>
        <w:gridCol w:w="2608"/>
      </w:tblGrid>
      <w:tr w:rsidR="00CD459A" w:rsidRPr="00CD459A" w14:paraId="2AC6AD21" w14:textId="77777777" w:rsidTr="003B74CE">
        <w:trPr>
          <w:trHeight w:hRule="exact" w:val="251"/>
        </w:trPr>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122808B8"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CLASE</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24E328ED"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GRUPO</w:t>
            </w:r>
          </w:p>
        </w:tc>
        <w:tc>
          <w:tcPr>
            <w:tcW w:w="2608" w:type="dxa"/>
            <w:tcBorders>
              <w:top w:val="single" w:sz="4" w:space="0" w:color="000000"/>
              <w:left w:val="single" w:sz="4" w:space="0" w:color="000000"/>
              <w:bottom w:val="single" w:sz="4" w:space="0" w:color="000000"/>
              <w:right w:val="single" w:sz="4" w:space="0" w:color="000000"/>
            </w:tcBorders>
            <w:shd w:val="clear" w:color="auto" w:fill="auto"/>
          </w:tcPr>
          <w:p w14:paraId="39A5DAC6"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CUENTA</w:t>
            </w:r>
          </w:p>
        </w:tc>
      </w:tr>
      <w:tr w:rsidR="00CD459A" w:rsidRPr="00CD459A" w14:paraId="26692349" w14:textId="77777777" w:rsidTr="003B74CE">
        <w:trPr>
          <w:trHeight w:hRule="exact" w:val="251"/>
        </w:trPr>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22ECA49B"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6B738B13" w14:textId="77777777" w:rsidR="007C7EF4" w:rsidRPr="00CD459A" w:rsidRDefault="007C7EF4" w:rsidP="003B74CE">
            <w:pPr>
              <w:suppressLineNumbers/>
              <w:tabs>
                <w:tab w:val="left" w:pos="-720"/>
              </w:tabs>
              <w:ind w:left="284" w:hanging="284"/>
              <w:jc w:val="both"/>
              <w:rPr>
                <w:rFonts w:ascii="Verdana" w:hAnsi="Verdana" w:cs="Arial"/>
              </w:rPr>
            </w:pPr>
          </w:p>
        </w:tc>
        <w:tc>
          <w:tcPr>
            <w:tcW w:w="2608" w:type="dxa"/>
            <w:tcBorders>
              <w:top w:val="single" w:sz="4" w:space="0" w:color="000000"/>
              <w:left w:val="single" w:sz="4" w:space="0" w:color="000000"/>
              <w:bottom w:val="single" w:sz="4" w:space="0" w:color="000000"/>
              <w:right w:val="single" w:sz="4" w:space="0" w:color="000000"/>
            </w:tcBorders>
            <w:shd w:val="clear" w:color="auto" w:fill="auto"/>
          </w:tcPr>
          <w:p w14:paraId="4AAB3DA8" w14:textId="77777777" w:rsidR="007C7EF4" w:rsidRPr="00CD459A" w:rsidRDefault="007C7EF4" w:rsidP="003B74CE">
            <w:pPr>
              <w:suppressLineNumbers/>
              <w:tabs>
                <w:tab w:val="left" w:pos="-720"/>
              </w:tabs>
              <w:ind w:left="284" w:hanging="284"/>
              <w:jc w:val="both"/>
              <w:rPr>
                <w:rFonts w:ascii="Verdana" w:hAnsi="Verdana" w:cs="Arial"/>
              </w:rPr>
            </w:pPr>
          </w:p>
        </w:tc>
      </w:tr>
      <w:tr w:rsidR="00CD459A" w:rsidRPr="00CD459A" w14:paraId="4849C6C4" w14:textId="77777777" w:rsidTr="003B74CE">
        <w:trPr>
          <w:trHeight w:hRule="exact" w:val="280"/>
        </w:trPr>
        <w:tc>
          <w:tcPr>
            <w:tcW w:w="3645" w:type="dxa"/>
            <w:tcBorders>
              <w:top w:val="single" w:sz="4" w:space="0" w:color="000000"/>
              <w:left w:val="single" w:sz="4" w:space="0" w:color="000000"/>
              <w:bottom w:val="single" w:sz="4" w:space="0" w:color="000000"/>
              <w:right w:val="single" w:sz="4" w:space="0" w:color="000000"/>
            </w:tcBorders>
            <w:shd w:val="clear" w:color="auto" w:fill="auto"/>
          </w:tcPr>
          <w:p w14:paraId="2A7B6569" w14:textId="77777777" w:rsidR="007C7EF4" w:rsidRPr="00CD459A" w:rsidRDefault="007C7EF4" w:rsidP="003B74CE">
            <w:pPr>
              <w:suppressLineNumbers/>
              <w:tabs>
                <w:tab w:val="left" w:pos="-720"/>
              </w:tabs>
              <w:ind w:left="284" w:hanging="284"/>
              <w:jc w:val="both"/>
              <w:rPr>
                <w:rFonts w:ascii="Verdana" w:hAnsi="Verdana" w:cs="Arial"/>
              </w:rPr>
            </w:pPr>
            <w:bookmarkStart w:id="797" w:name="_bookmark9"/>
            <w:bookmarkEnd w:id="797"/>
            <w:r w:rsidRPr="00CD459A">
              <w:rPr>
                <w:rFonts w:ascii="Verdana" w:hAnsi="Verdana" w:cs="Arial"/>
              </w:rPr>
              <w:t>CUENTAS DE ORDEN DEUDORAS</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AEE4855" w14:textId="77777777" w:rsidR="007C7EF4" w:rsidRPr="00CD459A" w:rsidRDefault="007C7EF4" w:rsidP="003B74CE">
            <w:pPr>
              <w:suppressLineNumbers/>
              <w:tabs>
                <w:tab w:val="left" w:pos="-720"/>
              </w:tabs>
              <w:ind w:left="284" w:hanging="284"/>
              <w:jc w:val="both"/>
              <w:rPr>
                <w:rFonts w:ascii="Verdana" w:hAnsi="Verdana" w:cs="Arial"/>
              </w:rPr>
            </w:pPr>
          </w:p>
        </w:tc>
        <w:tc>
          <w:tcPr>
            <w:tcW w:w="2608" w:type="dxa"/>
            <w:tcBorders>
              <w:top w:val="single" w:sz="4" w:space="0" w:color="000000"/>
              <w:left w:val="single" w:sz="4" w:space="0" w:color="000000"/>
              <w:bottom w:val="single" w:sz="4" w:space="0" w:color="000000"/>
              <w:right w:val="single" w:sz="4" w:space="0" w:color="000000"/>
            </w:tcBorders>
            <w:shd w:val="clear" w:color="auto" w:fill="auto"/>
          </w:tcPr>
          <w:p w14:paraId="0259C0E5" w14:textId="77777777" w:rsidR="007C7EF4" w:rsidRPr="00CD459A" w:rsidRDefault="007C7EF4" w:rsidP="003B74CE">
            <w:pPr>
              <w:suppressLineNumbers/>
              <w:tabs>
                <w:tab w:val="left" w:pos="-720"/>
              </w:tabs>
              <w:ind w:left="284" w:hanging="284"/>
              <w:jc w:val="both"/>
              <w:rPr>
                <w:rFonts w:ascii="Verdana" w:hAnsi="Verdana" w:cs="Arial"/>
              </w:rPr>
            </w:pPr>
          </w:p>
        </w:tc>
      </w:tr>
    </w:tbl>
    <w:p w14:paraId="515B222C" w14:textId="77777777" w:rsidR="007C7EF4" w:rsidRPr="00CD459A" w:rsidRDefault="007C7EF4" w:rsidP="007C7EF4">
      <w:pPr>
        <w:jc w:val="both"/>
        <w:rPr>
          <w:rFonts w:ascii="Verdana" w:hAnsi="Verdana" w:cs="Arial"/>
        </w:rPr>
      </w:pPr>
    </w:p>
    <w:p w14:paraId="303AE21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5DFFE8EA" w14:textId="77777777" w:rsidR="007C7EF4" w:rsidRPr="00CD459A" w:rsidRDefault="007C7EF4" w:rsidP="007C7EF4">
      <w:pPr>
        <w:suppressLineNumbers/>
        <w:tabs>
          <w:tab w:val="left" w:pos="-720"/>
        </w:tabs>
        <w:ind w:left="284" w:hanging="284"/>
        <w:jc w:val="both"/>
        <w:rPr>
          <w:rFonts w:ascii="Verdana" w:hAnsi="Verdana" w:cs="Arial"/>
        </w:rPr>
      </w:pPr>
    </w:p>
    <w:p w14:paraId="3D973612"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denominación, se incluyen los grupos que representan los hechos o circunstancias de los cuales pueden generarse derechos a favor de la entidad. Incluye cuentas para el registro de activos contingentes, cuentas de orden deudoras fiscales y cuentas de orden deudoras de control, así como para el registro de las correspondientes contrapartidas. Las cuentas que integran esta clase son de naturaleza débito.</w:t>
      </w:r>
    </w:p>
    <w:p w14:paraId="6D021AF1" w14:textId="77777777" w:rsidR="007C7EF4" w:rsidRPr="00CD459A" w:rsidRDefault="007C7EF4" w:rsidP="007C7EF4">
      <w:pPr>
        <w:jc w:val="both"/>
        <w:rPr>
          <w:rFonts w:ascii="Verdana" w:hAnsi="Verdana" w:cs="Arial"/>
        </w:rPr>
      </w:pPr>
    </w:p>
    <w:tbl>
      <w:tblPr>
        <w:tblW w:w="8820" w:type="dxa"/>
        <w:tblInd w:w="-5" w:type="dxa"/>
        <w:tblLayout w:type="fixed"/>
        <w:tblCellMar>
          <w:left w:w="0" w:type="dxa"/>
          <w:right w:w="0" w:type="dxa"/>
        </w:tblCellMar>
        <w:tblLook w:val="01E0" w:firstRow="1" w:lastRow="1" w:firstColumn="1" w:lastColumn="1" w:noHBand="0" w:noVBand="0"/>
      </w:tblPr>
      <w:tblGrid>
        <w:gridCol w:w="3100"/>
        <w:gridCol w:w="2958"/>
        <w:gridCol w:w="2762"/>
      </w:tblGrid>
      <w:tr w:rsidR="00CD459A" w:rsidRPr="00CD459A" w14:paraId="3D58A0E0" w14:textId="77777777" w:rsidTr="003B74CE">
        <w:trPr>
          <w:trHeight w:hRule="exact" w:val="260"/>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14:paraId="04D0778E"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CLASE</w:t>
            </w:r>
          </w:p>
        </w:tc>
        <w:tc>
          <w:tcPr>
            <w:tcW w:w="2958" w:type="dxa"/>
            <w:tcBorders>
              <w:top w:val="single" w:sz="4" w:space="0" w:color="000000"/>
              <w:left w:val="single" w:sz="4" w:space="0" w:color="000000"/>
              <w:bottom w:val="single" w:sz="4" w:space="0" w:color="000000"/>
              <w:right w:val="single" w:sz="4" w:space="0" w:color="000000"/>
            </w:tcBorders>
            <w:shd w:val="clear" w:color="auto" w:fill="auto"/>
          </w:tcPr>
          <w:p w14:paraId="4C873A8F"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GRUPO</w:t>
            </w:r>
          </w:p>
        </w:tc>
        <w:tc>
          <w:tcPr>
            <w:tcW w:w="2762" w:type="dxa"/>
            <w:tcBorders>
              <w:top w:val="single" w:sz="4" w:space="0" w:color="000000"/>
              <w:left w:val="single" w:sz="4" w:space="0" w:color="000000"/>
              <w:bottom w:val="single" w:sz="4" w:space="0" w:color="000000"/>
              <w:right w:val="single" w:sz="4" w:space="0" w:color="000000"/>
            </w:tcBorders>
            <w:shd w:val="clear" w:color="auto" w:fill="auto"/>
          </w:tcPr>
          <w:p w14:paraId="7ADE4DB9"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CUENTA</w:t>
            </w:r>
          </w:p>
        </w:tc>
      </w:tr>
      <w:tr w:rsidR="00CD459A" w:rsidRPr="00CD459A" w14:paraId="336DA948" w14:textId="77777777" w:rsidTr="003B74CE">
        <w:trPr>
          <w:trHeight w:hRule="exact" w:val="304"/>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14:paraId="0C209628"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w:t>
            </w:r>
          </w:p>
        </w:tc>
        <w:tc>
          <w:tcPr>
            <w:tcW w:w="2958" w:type="dxa"/>
            <w:tcBorders>
              <w:top w:val="single" w:sz="4" w:space="0" w:color="000000"/>
              <w:left w:val="single" w:sz="4" w:space="0" w:color="000000"/>
              <w:bottom w:val="single" w:sz="4" w:space="0" w:color="000000"/>
              <w:right w:val="single" w:sz="4" w:space="0" w:color="000000"/>
            </w:tcBorders>
            <w:shd w:val="clear" w:color="auto" w:fill="auto"/>
          </w:tcPr>
          <w:p w14:paraId="592D3BC5"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81</w:t>
            </w:r>
          </w:p>
        </w:tc>
        <w:tc>
          <w:tcPr>
            <w:tcW w:w="2762" w:type="dxa"/>
            <w:tcBorders>
              <w:top w:val="single" w:sz="4" w:space="0" w:color="000000"/>
              <w:left w:val="single" w:sz="4" w:space="0" w:color="000000"/>
              <w:bottom w:val="single" w:sz="4" w:space="0" w:color="000000"/>
              <w:right w:val="single" w:sz="4" w:space="0" w:color="000000"/>
            </w:tcBorders>
            <w:shd w:val="clear" w:color="auto" w:fill="auto"/>
          </w:tcPr>
          <w:p w14:paraId="375ADA18" w14:textId="77777777" w:rsidR="007C7EF4" w:rsidRPr="00CD459A" w:rsidRDefault="007C7EF4" w:rsidP="003B74CE">
            <w:pPr>
              <w:suppressLineNumbers/>
              <w:tabs>
                <w:tab w:val="left" w:pos="-720"/>
              </w:tabs>
              <w:ind w:left="284" w:hanging="284"/>
              <w:jc w:val="both"/>
              <w:rPr>
                <w:rFonts w:ascii="Verdana" w:hAnsi="Verdana" w:cs="Arial"/>
              </w:rPr>
            </w:pPr>
          </w:p>
        </w:tc>
      </w:tr>
      <w:tr w:rsidR="00CD459A" w:rsidRPr="00CD459A" w14:paraId="1D0230B1" w14:textId="77777777" w:rsidTr="003B74CE">
        <w:trPr>
          <w:trHeight w:hRule="exact" w:val="545"/>
        </w:trPr>
        <w:tc>
          <w:tcPr>
            <w:tcW w:w="3100" w:type="dxa"/>
            <w:tcBorders>
              <w:top w:val="single" w:sz="4" w:space="0" w:color="000000"/>
              <w:left w:val="single" w:sz="4" w:space="0" w:color="000000"/>
              <w:bottom w:val="single" w:sz="4" w:space="0" w:color="000000"/>
              <w:right w:val="single" w:sz="4" w:space="0" w:color="000000"/>
            </w:tcBorders>
            <w:shd w:val="clear" w:color="auto" w:fill="auto"/>
          </w:tcPr>
          <w:p w14:paraId="1103EB7A" w14:textId="77777777" w:rsidR="007C7EF4" w:rsidRPr="00CD459A" w:rsidRDefault="007C7EF4" w:rsidP="003B74CE">
            <w:pPr>
              <w:suppressLineNumbers/>
              <w:tabs>
                <w:tab w:val="left" w:pos="-720"/>
              </w:tabs>
              <w:jc w:val="both"/>
              <w:rPr>
                <w:rFonts w:ascii="Verdana" w:hAnsi="Verdana" w:cs="Arial"/>
              </w:rPr>
            </w:pPr>
            <w:r w:rsidRPr="00CD459A">
              <w:rPr>
                <w:rFonts w:ascii="Verdana" w:hAnsi="Verdana" w:cs="Arial"/>
              </w:rPr>
              <w:t>CUENTAS DE ORDEN DEUDORAS</w:t>
            </w:r>
          </w:p>
        </w:tc>
        <w:tc>
          <w:tcPr>
            <w:tcW w:w="2958" w:type="dxa"/>
            <w:tcBorders>
              <w:top w:val="single" w:sz="4" w:space="0" w:color="000000"/>
              <w:left w:val="single" w:sz="4" w:space="0" w:color="000000"/>
              <w:bottom w:val="single" w:sz="4" w:space="0" w:color="000000"/>
              <w:right w:val="single" w:sz="4" w:space="0" w:color="000000"/>
            </w:tcBorders>
            <w:shd w:val="clear" w:color="auto" w:fill="auto"/>
          </w:tcPr>
          <w:p w14:paraId="5E6D6343"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 xml:space="preserve">ACTIVOS CONTINGENTES </w:t>
            </w:r>
          </w:p>
        </w:tc>
        <w:tc>
          <w:tcPr>
            <w:tcW w:w="2762" w:type="dxa"/>
            <w:tcBorders>
              <w:top w:val="single" w:sz="4" w:space="0" w:color="000000"/>
              <w:left w:val="single" w:sz="4" w:space="0" w:color="000000"/>
              <w:bottom w:val="single" w:sz="4" w:space="0" w:color="000000"/>
              <w:right w:val="single" w:sz="4" w:space="0" w:color="000000"/>
            </w:tcBorders>
            <w:shd w:val="clear" w:color="auto" w:fill="auto"/>
          </w:tcPr>
          <w:p w14:paraId="2585E72B" w14:textId="77777777" w:rsidR="007C7EF4" w:rsidRPr="00CD459A" w:rsidRDefault="007C7EF4" w:rsidP="003B74CE">
            <w:pPr>
              <w:suppressLineNumbers/>
              <w:tabs>
                <w:tab w:val="left" w:pos="-720"/>
              </w:tabs>
              <w:ind w:left="284" w:hanging="284"/>
              <w:jc w:val="both"/>
              <w:rPr>
                <w:rFonts w:ascii="Verdana" w:hAnsi="Verdana" w:cs="Arial"/>
              </w:rPr>
            </w:pPr>
          </w:p>
        </w:tc>
      </w:tr>
    </w:tbl>
    <w:p w14:paraId="7812C87E" w14:textId="77777777" w:rsidR="007C7EF4" w:rsidRPr="00CD459A" w:rsidRDefault="007C7EF4" w:rsidP="007C7EF4">
      <w:pPr>
        <w:jc w:val="both"/>
        <w:rPr>
          <w:rFonts w:ascii="Verdana" w:hAnsi="Verdana" w:cs="Arial"/>
        </w:rPr>
      </w:pPr>
    </w:p>
    <w:p w14:paraId="0F125C4C" w14:textId="7C0694DB" w:rsidR="007C7EF4" w:rsidRPr="00CD459A" w:rsidRDefault="007C7EF4" w:rsidP="007C7EF4">
      <w:pPr>
        <w:jc w:val="both"/>
        <w:rPr>
          <w:rFonts w:ascii="Verdana" w:hAnsi="Verdana" w:cs="Arial"/>
        </w:rPr>
      </w:pPr>
      <w:r w:rsidRPr="00CD459A">
        <w:rPr>
          <w:rFonts w:ascii="Verdana" w:hAnsi="Verdana" w:cs="Arial"/>
        </w:rPr>
        <w:t>OBJETIVO</w:t>
      </w:r>
    </w:p>
    <w:p w14:paraId="4E6B779F"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 los Activos Contingentes en los Estados Financieros del Sistema General de Regalias. </w:t>
      </w:r>
    </w:p>
    <w:p w14:paraId="0BD8E874" w14:textId="77777777" w:rsidR="007C7EF4" w:rsidRPr="00CD459A" w:rsidRDefault="007C7EF4" w:rsidP="007C7EF4">
      <w:pPr>
        <w:jc w:val="both"/>
        <w:rPr>
          <w:rFonts w:ascii="Verdana" w:hAnsi="Verdana" w:cs="Arial"/>
          <w:lang w:val="es-ES_tradnl" w:eastAsia="es-CO"/>
        </w:rPr>
      </w:pPr>
    </w:p>
    <w:p w14:paraId="1B5A6DE1" w14:textId="77777777" w:rsidR="007C7EF4" w:rsidRPr="00CD459A" w:rsidRDefault="007C7EF4" w:rsidP="007C7EF4">
      <w:pPr>
        <w:jc w:val="both"/>
        <w:rPr>
          <w:rFonts w:ascii="Verdana" w:hAnsi="Verdana" w:cs="Arial"/>
        </w:rPr>
      </w:pPr>
      <w:r w:rsidRPr="00CD459A">
        <w:rPr>
          <w:rFonts w:ascii="Verdana" w:hAnsi="Verdana" w:cs="Arial"/>
        </w:rPr>
        <w:t xml:space="preserve">ALCANCE </w:t>
      </w:r>
    </w:p>
    <w:p w14:paraId="77360C01" w14:textId="77777777" w:rsidR="007C7EF4" w:rsidRPr="00CD459A" w:rsidRDefault="007C7EF4" w:rsidP="007C7EF4">
      <w:pPr>
        <w:jc w:val="both"/>
        <w:rPr>
          <w:rFonts w:ascii="Verdana" w:hAnsi="Verdana" w:cs="Arial"/>
          <w:lang w:val="es-ES_tradnl"/>
        </w:rPr>
      </w:pPr>
    </w:p>
    <w:p w14:paraId="6F777633"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Esta política se aplicará en la contabilización de los activos contingentes.</w:t>
      </w:r>
    </w:p>
    <w:p w14:paraId="54FE7BD6" w14:textId="77777777" w:rsidR="007C7EF4" w:rsidRPr="00CD459A" w:rsidRDefault="007C7EF4" w:rsidP="007C7EF4">
      <w:pPr>
        <w:widowControl w:val="0"/>
        <w:autoSpaceDE w:val="0"/>
        <w:autoSpaceDN w:val="0"/>
        <w:adjustRightInd w:val="0"/>
        <w:jc w:val="both"/>
        <w:rPr>
          <w:rFonts w:ascii="Verdana" w:hAnsi="Verdana" w:cs="Arial"/>
        </w:rPr>
      </w:pPr>
    </w:p>
    <w:p w14:paraId="41E19D94"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p w14:paraId="076712A2" w14:textId="77777777" w:rsidR="007C7EF4" w:rsidRPr="00CD459A" w:rsidRDefault="007C7EF4" w:rsidP="007C7EF4">
      <w:pPr>
        <w:jc w:val="both"/>
        <w:rPr>
          <w:rFonts w:ascii="Verdana" w:hAnsi="Verdana" w:cs="Arial"/>
          <w:b/>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4CF71C1A" w14:textId="77777777" w:rsidTr="003B74CE">
        <w:trPr>
          <w:jc w:val="center"/>
        </w:trPr>
        <w:tc>
          <w:tcPr>
            <w:tcW w:w="4678" w:type="dxa"/>
            <w:tcBorders>
              <w:bottom w:val="single" w:sz="12" w:space="0" w:color="000000"/>
            </w:tcBorders>
            <w:shd w:val="solid" w:color="2F5395" w:fill="FFFFFF"/>
          </w:tcPr>
          <w:p w14:paraId="1842787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4915309F"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4218DB8E"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3EFDF134"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2F1B36FA"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Grupo 81 – Activos Contingentes </w:t>
            </w:r>
          </w:p>
        </w:tc>
      </w:tr>
    </w:tbl>
    <w:p w14:paraId="4EAB9C0B"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288E3A73"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73650931" w14:textId="77777777" w:rsidR="007C7EF4" w:rsidRPr="00CD459A" w:rsidRDefault="007C7EF4" w:rsidP="007C7EF4">
      <w:pPr>
        <w:jc w:val="both"/>
        <w:rPr>
          <w:rFonts w:ascii="Verdana" w:hAnsi="Verdana" w:cs="Arial"/>
          <w:b/>
          <w:lang w:val="es-ES_tradnl" w:eastAsia="es-CO"/>
        </w:rPr>
      </w:pPr>
    </w:p>
    <w:p w14:paraId="061E9E95"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5FB65E51"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2726"/>
        <w:gridCol w:w="571"/>
        <w:gridCol w:w="5541"/>
      </w:tblGrid>
      <w:tr w:rsidR="00CD459A" w:rsidRPr="00CD459A" w14:paraId="344F8E57" w14:textId="77777777" w:rsidTr="003B74CE">
        <w:trPr>
          <w:jc w:val="center"/>
        </w:trPr>
        <w:tc>
          <w:tcPr>
            <w:tcW w:w="2727" w:type="dxa"/>
            <w:tcBorders>
              <w:bottom w:val="single" w:sz="12" w:space="0" w:color="000000"/>
            </w:tcBorders>
            <w:shd w:val="solid" w:color="2F5395" w:fill="FFFFFF"/>
          </w:tcPr>
          <w:p w14:paraId="724D3F5C"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6113" w:type="dxa"/>
            <w:gridSpan w:val="2"/>
            <w:tcBorders>
              <w:bottom w:val="single" w:sz="12" w:space="0" w:color="000000"/>
            </w:tcBorders>
            <w:shd w:val="solid" w:color="2F5395" w:fill="FFFFFF"/>
          </w:tcPr>
          <w:p w14:paraId="1884A8E1"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21FBDD27" w14:textId="77777777" w:rsidTr="003B74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8" w:type="dxa"/>
            <w:gridSpan w:val="2"/>
            <w:shd w:val="pct20" w:color="FFFFFF" w:fill="FFFFFF"/>
            <w:vAlign w:val="center"/>
          </w:tcPr>
          <w:p w14:paraId="6B1467D6"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Departamento Nacional de Planeación </w:t>
            </w:r>
          </w:p>
        </w:tc>
        <w:tc>
          <w:tcPr>
            <w:tcW w:w="5542" w:type="dxa"/>
            <w:shd w:val="pct20" w:color="FFFFFF" w:fill="FFFFFF"/>
            <w:vAlign w:val="center"/>
          </w:tcPr>
          <w:p w14:paraId="08E05A7B"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Informar acerca de los actos administrativos que imponen multas a favor del SGR.</w:t>
            </w:r>
          </w:p>
        </w:tc>
      </w:tr>
      <w:tr w:rsidR="00CD459A" w:rsidRPr="00CD459A" w14:paraId="3E4DF773" w14:textId="77777777" w:rsidTr="003B74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3"/>
          <w:jc w:val="center"/>
        </w:trPr>
        <w:tc>
          <w:tcPr>
            <w:tcW w:w="3298" w:type="dxa"/>
            <w:gridSpan w:val="2"/>
            <w:tcBorders>
              <w:top w:val="single" w:sz="4" w:space="0" w:color="auto"/>
              <w:left w:val="single" w:sz="4" w:space="0" w:color="auto"/>
              <w:bottom w:val="single" w:sz="4" w:space="0" w:color="auto"/>
              <w:right w:val="single" w:sz="4" w:space="0" w:color="auto"/>
            </w:tcBorders>
            <w:shd w:val="pct20" w:color="FFFFFF" w:fill="FFFFFF"/>
            <w:vAlign w:val="center"/>
          </w:tcPr>
          <w:p w14:paraId="565FEB0C"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Grupo de Contabilidad SGR</w:t>
            </w:r>
          </w:p>
        </w:tc>
        <w:tc>
          <w:tcPr>
            <w:tcW w:w="5542" w:type="dxa"/>
            <w:tcBorders>
              <w:top w:val="single" w:sz="4" w:space="0" w:color="auto"/>
              <w:left w:val="single" w:sz="4" w:space="0" w:color="auto"/>
              <w:bottom w:val="single" w:sz="4" w:space="0" w:color="auto"/>
              <w:right w:val="single" w:sz="4" w:space="0" w:color="auto"/>
            </w:tcBorders>
            <w:shd w:val="pct20" w:color="FFFFFF" w:fill="FFFFFF"/>
            <w:vAlign w:val="center"/>
          </w:tcPr>
          <w:p w14:paraId="38C908F2"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del DNP para realizar el registro, medición y revelación contable correspondiente.</w:t>
            </w:r>
          </w:p>
          <w:p w14:paraId="136900BC"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 xml:space="preserve">Conciliar y depurar las partidas de Activos Contingentes.  </w:t>
            </w:r>
          </w:p>
        </w:tc>
      </w:tr>
    </w:tbl>
    <w:p w14:paraId="501AD7BC" w14:textId="77777777" w:rsidR="007C7EF4" w:rsidRPr="00CD459A" w:rsidRDefault="007C7EF4" w:rsidP="007C7EF4">
      <w:pPr>
        <w:jc w:val="both"/>
        <w:rPr>
          <w:rFonts w:ascii="Verdana" w:hAnsi="Verdana" w:cs="Arial"/>
        </w:rPr>
      </w:pPr>
    </w:p>
    <w:p w14:paraId="30D322C9" w14:textId="77777777" w:rsidR="007C7EF4" w:rsidRPr="00CD459A" w:rsidRDefault="007C7EF4" w:rsidP="007C7EF4">
      <w:pPr>
        <w:pStyle w:val="Textoindependiente"/>
        <w:ind w:right="269"/>
        <w:rPr>
          <w:rFonts w:ascii="Verdana" w:hAnsi="Verdana" w:cs="Arial"/>
          <w:sz w:val="22"/>
          <w:szCs w:val="22"/>
        </w:rPr>
      </w:pPr>
    </w:p>
    <w:tbl>
      <w:tblPr>
        <w:tblW w:w="8846" w:type="dxa"/>
        <w:tblInd w:w="-5" w:type="dxa"/>
        <w:tblLayout w:type="fixed"/>
        <w:tblCellMar>
          <w:left w:w="0" w:type="dxa"/>
          <w:right w:w="0" w:type="dxa"/>
        </w:tblCellMar>
        <w:tblLook w:val="01E0" w:firstRow="1" w:lastRow="1" w:firstColumn="1" w:lastColumn="1" w:noHBand="0" w:noVBand="0"/>
      </w:tblPr>
      <w:tblGrid>
        <w:gridCol w:w="2781"/>
        <w:gridCol w:w="2398"/>
        <w:gridCol w:w="3667"/>
      </w:tblGrid>
      <w:tr w:rsidR="00CD459A" w:rsidRPr="00CD459A" w14:paraId="7EB9F389" w14:textId="77777777" w:rsidTr="003B74CE">
        <w:trPr>
          <w:trHeight w:hRule="exact" w:val="419"/>
        </w:trPr>
        <w:tc>
          <w:tcPr>
            <w:tcW w:w="2781" w:type="dxa"/>
            <w:tcBorders>
              <w:top w:val="single" w:sz="4" w:space="0" w:color="000000"/>
              <w:left w:val="single" w:sz="4" w:space="0" w:color="000000"/>
              <w:bottom w:val="single" w:sz="4" w:space="0" w:color="000000"/>
              <w:right w:val="single" w:sz="4" w:space="0" w:color="000000"/>
            </w:tcBorders>
            <w:shd w:val="clear" w:color="auto" w:fill="auto"/>
          </w:tcPr>
          <w:p w14:paraId="2EEA4A8B"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CLASE</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14:paraId="6D3A81F2"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GRUPO</w:t>
            </w:r>
          </w:p>
        </w:tc>
        <w:tc>
          <w:tcPr>
            <w:tcW w:w="3667" w:type="dxa"/>
            <w:tcBorders>
              <w:top w:val="single" w:sz="4" w:space="0" w:color="000000"/>
              <w:left w:val="single" w:sz="4" w:space="0" w:color="000000"/>
              <w:bottom w:val="single" w:sz="4" w:space="0" w:color="000000"/>
              <w:right w:val="single" w:sz="4" w:space="0" w:color="000000"/>
            </w:tcBorders>
            <w:shd w:val="clear" w:color="auto" w:fill="auto"/>
          </w:tcPr>
          <w:p w14:paraId="78981DBE" w14:textId="77777777" w:rsidR="007C7EF4" w:rsidRPr="00CD459A" w:rsidRDefault="007C7EF4" w:rsidP="003B74CE">
            <w:pPr>
              <w:suppressLineNumbers/>
              <w:tabs>
                <w:tab w:val="left" w:pos="-720"/>
              </w:tabs>
              <w:ind w:left="284" w:hanging="284"/>
              <w:jc w:val="center"/>
              <w:rPr>
                <w:rFonts w:ascii="Verdana" w:hAnsi="Verdana" w:cs="Arial"/>
                <w:b/>
                <w:bCs/>
              </w:rPr>
            </w:pPr>
            <w:r w:rsidRPr="00CD459A">
              <w:rPr>
                <w:rFonts w:ascii="Verdana" w:hAnsi="Verdana" w:cs="Arial"/>
                <w:b/>
                <w:bCs/>
              </w:rPr>
              <w:t>SUBCUENTA</w:t>
            </w:r>
          </w:p>
        </w:tc>
      </w:tr>
      <w:tr w:rsidR="00CD459A" w:rsidRPr="00CD459A" w14:paraId="1FC34BD2" w14:textId="77777777" w:rsidTr="003B74CE">
        <w:trPr>
          <w:trHeight w:hRule="exact" w:val="419"/>
        </w:trPr>
        <w:tc>
          <w:tcPr>
            <w:tcW w:w="2781" w:type="dxa"/>
            <w:tcBorders>
              <w:top w:val="single" w:sz="4" w:space="0" w:color="000000"/>
              <w:left w:val="single" w:sz="4" w:space="0" w:color="000000"/>
              <w:bottom w:val="single" w:sz="4" w:space="0" w:color="000000"/>
              <w:right w:val="single" w:sz="4" w:space="0" w:color="000000"/>
            </w:tcBorders>
            <w:shd w:val="clear" w:color="auto" w:fill="auto"/>
          </w:tcPr>
          <w:p w14:paraId="3EC0D62A"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14:paraId="06E4EBCB"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8190</w:t>
            </w:r>
          </w:p>
        </w:tc>
        <w:tc>
          <w:tcPr>
            <w:tcW w:w="3667" w:type="dxa"/>
            <w:tcBorders>
              <w:top w:val="single" w:sz="4" w:space="0" w:color="000000"/>
              <w:left w:val="single" w:sz="4" w:space="0" w:color="000000"/>
              <w:bottom w:val="single" w:sz="4" w:space="0" w:color="000000"/>
              <w:right w:val="single" w:sz="4" w:space="0" w:color="000000"/>
            </w:tcBorders>
            <w:shd w:val="clear" w:color="auto" w:fill="auto"/>
          </w:tcPr>
          <w:p w14:paraId="173678C1"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819090</w:t>
            </w:r>
          </w:p>
        </w:tc>
      </w:tr>
      <w:tr w:rsidR="00CD459A" w:rsidRPr="00CD459A" w14:paraId="7E15979A" w14:textId="77777777" w:rsidTr="003B74CE">
        <w:trPr>
          <w:trHeight w:hRule="exact" w:val="648"/>
        </w:trPr>
        <w:tc>
          <w:tcPr>
            <w:tcW w:w="2781" w:type="dxa"/>
            <w:tcBorders>
              <w:top w:val="single" w:sz="4" w:space="0" w:color="000000"/>
              <w:left w:val="single" w:sz="4" w:space="0" w:color="000000"/>
              <w:bottom w:val="single" w:sz="4" w:space="0" w:color="000000"/>
              <w:right w:val="single" w:sz="4" w:space="0" w:color="000000"/>
            </w:tcBorders>
            <w:shd w:val="clear" w:color="auto" w:fill="auto"/>
          </w:tcPr>
          <w:p w14:paraId="22408A9D" w14:textId="77777777" w:rsidR="007C7EF4" w:rsidRPr="00CD459A" w:rsidRDefault="007C7EF4" w:rsidP="003B74CE">
            <w:pPr>
              <w:suppressLineNumbers/>
              <w:tabs>
                <w:tab w:val="left" w:pos="-720"/>
              </w:tabs>
              <w:jc w:val="both"/>
              <w:rPr>
                <w:rFonts w:ascii="Verdana" w:hAnsi="Verdana" w:cs="Arial"/>
              </w:rPr>
            </w:pPr>
            <w:r w:rsidRPr="00CD459A">
              <w:rPr>
                <w:rFonts w:ascii="Verdana" w:hAnsi="Verdana" w:cs="Arial"/>
              </w:rPr>
              <w:t>CUENTAS DE ORDEN DEUDORAS</w:t>
            </w:r>
          </w:p>
        </w:tc>
        <w:tc>
          <w:tcPr>
            <w:tcW w:w="2398" w:type="dxa"/>
            <w:tcBorders>
              <w:top w:val="single" w:sz="4" w:space="0" w:color="000000"/>
              <w:left w:val="single" w:sz="4" w:space="0" w:color="000000"/>
              <w:bottom w:val="single" w:sz="4" w:space="0" w:color="000000"/>
              <w:right w:val="single" w:sz="4" w:space="0" w:color="000000"/>
            </w:tcBorders>
            <w:shd w:val="clear" w:color="auto" w:fill="auto"/>
          </w:tcPr>
          <w:p w14:paraId="21125BEA"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OTROS ACTIVOS CONTINGENTES</w:t>
            </w:r>
          </w:p>
        </w:tc>
        <w:tc>
          <w:tcPr>
            <w:tcW w:w="3667" w:type="dxa"/>
            <w:tcBorders>
              <w:top w:val="single" w:sz="4" w:space="0" w:color="000000"/>
              <w:left w:val="single" w:sz="4" w:space="0" w:color="000000"/>
              <w:bottom w:val="single" w:sz="4" w:space="0" w:color="000000"/>
              <w:right w:val="single" w:sz="4" w:space="0" w:color="000000"/>
            </w:tcBorders>
            <w:shd w:val="clear" w:color="auto" w:fill="auto"/>
          </w:tcPr>
          <w:p w14:paraId="585CE04C" w14:textId="77777777" w:rsidR="007C7EF4" w:rsidRPr="00CD459A" w:rsidRDefault="007C7EF4" w:rsidP="003B74CE">
            <w:pPr>
              <w:suppressLineNumbers/>
              <w:tabs>
                <w:tab w:val="left" w:pos="-720"/>
              </w:tabs>
              <w:ind w:left="284" w:hanging="284"/>
              <w:jc w:val="both"/>
              <w:rPr>
                <w:rFonts w:ascii="Verdana" w:hAnsi="Verdana" w:cs="Arial"/>
              </w:rPr>
            </w:pPr>
            <w:r w:rsidRPr="00CD459A">
              <w:rPr>
                <w:rFonts w:ascii="Verdana" w:hAnsi="Verdana" w:cs="Arial"/>
              </w:rPr>
              <w:t xml:space="preserve">Otros activos contingentes  </w:t>
            </w:r>
          </w:p>
        </w:tc>
      </w:tr>
    </w:tbl>
    <w:p w14:paraId="1D65E08A" w14:textId="77777777" w:rsidR="007C7EF4" w:rsidRPr="00CD459A" w:rsidRDefault="007C7EF4" w:rsidP="007C7EF4">
      <w:pPr>
        <w:pStyle w:val="Textoindependiente"/>
        <w:ind w:right="269"/>
        <w:rPr>
          <w:rFonts w:ascii="Verdana" w:hAnsi="Verdana" w:cs="Arial"/>
          <w:sz w:val="22"/>
          <w:szCs w:val="22"/>
        </w:rPr>
      </w:pPr>
    </w:p>
    <w:p w14:paraId="6863CFB1" w14:textId="77777777" w:rsidR="007C7EF4" w:rsidRPr="00CD459A" w:rsidRDefault="007C7EF4" w:rsidP="007C7EF4">
      <w:pPr>
        <w:pStyle w:val="Textoindependiente"/>
        <w:ind w:right="269"/>
        <w:rPr>
          <w:rFonts w:ascii="Verdana" w:hAnsi="Verdana" w:cs="Arial"/>
          <w:sz w:val="22"/>
          <w:szCs w:val="22"/>
        </w:rPr>
      </w:pPr>
    </w:p>
    <w:p w14:paraId="6D317FCD" w14:textId="495B3C34" w:rsidR="007C7EF4" w:rsidRPr="00CD459A" w:rsidRDefault="007C7EF4" w:rsidP="007C7EF4">
      <w:pPr>
        <w:jc w:val="both"/>
        <w:rPr>
          <w:rFonts w:ascii="Verdana" w:hAnsi="Verdana" w:cs="Arial"/>
        </w:rPr>
      </w:pPr>
      <w:r w:rsidRPr="00CD459A">
        <w:rPr>
          <w:rFonts w:ascii="Verdana" w:hAnsi="Verdana" w:cs="Arial"/>
        </w:rPr>
        <w:t>DESCRIPCIÓN</w:t>
      </w:r>
    </w:p>
    <w:p w14:paraId="1F00C9C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clasifican las operaciones correspondientes al registro de las resoluciones que se encuentran con recursos de reposición o subsidio de apelación emitidas por el DNP imponiendo multas contempladas en el artículo 117 de la ley 1530 de 2012 a los representantes legales de entidades territoriales como resultado del SMSCyE del SGR</w:t>
      </w:r>
    </w:p>
    <w:p w14:paraId="7C494C6D" w14:textId="77777777" w:rsidR="007C7EF4" w:rsidRPr="00CD459A" w:rsidRDefault="007C7EF4" w:rsidP="007C7EF4">
      <w:pPr>
        <w:jc w:val="both"/>
        <w:rPr>
          <w:rFonts w:ascii="Verdana" w:hAnsi="Verdana" w:cs="Arial"/>
        </w:rPr>
      </w:pPr>
    </w:p>
    <w:p w14:paraId="3428CDAB" w14:textId="4C8F00AD" w:rsidR="007C7EF4" w:rsidRPr="00CD459A" w:rsidRDefault="007C7EF4" w:rsidP="007C7EF4">
      <w:pPr>
        <w:jc w:val="both"/>
        <w:rPr>
          <w:rFonts w:ascii="Verdana" w:hAnsi="Verdana" w:cs="Arial"/>
        </w:rPr>
      </w:pPr>
      <w:r w:rsidRPr="00CD459A">
        <w:rPr>
          <w:rFonts w:ascii="Verdana" w:hAnsi="Verdana" w:cs="Arial"/>
        </w:rPr>
        <w:t>MEDICIÓN</w:t>
      </w:r>
    </w:p>
    <w:p w14:paraId="1C66F07D" w14:textId="77777777" w:rsidR="007C7EF4" w:rsidRPr="00CD459A" w:rsidRDefault="007C7EF4" w:rsidP="007C7EF4">
      <w:pPr>
        <w:jc w:val="both"/>
        <w:rPr>
          <w:rFonts w:ascii="Verdana" w:hAnsi="Verdana" w:cs="Arial"/>
        </w:rPr>
      </w:pPr>
      <w:r w:rsidRPr="00CD459A">
        <w:rPr>
          <w:rFonts w:ascii="Verdana" w:hAnsi="Verdana" w:cs="Arial"/>
        </w:rPr>
        <w:t xml:space="preserve">El valor de la multa impuesta será expresado al salario mínimo legal de la vigencia correspondiente. </w:t>
      </w:r>
    </w:p>
    <w:p w14:paraId="3424BD4F" w14:textId="77777777" w:rsidR="007C7EF4" w:rsidRPr="00CD459A" w:rsidRDefault="007C7EF4" w:rsidP="007C7EF4">
      <w:pPr>
        <w:suppressLineNumbers/>
        <w:tabs>
          <w:tab w:val="left" w:pos="-720"/>
        </w:tabs>
        <w:ind w:left="284" w:hanging="284"/>
        <w:jc w:val="both"/>
        <w:rPr>
          <w:rFonts w:ascii="Verdana" w:hAnsi="Verdana" w:cs="Arial"/>
        </w:rPr>
      </w:pPr>
    </w:p>
    <w:p w14:paraId="2DEBD3B7" w14:textId="3B627E2B"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4B25E05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Informe emitido por el Departamento Nacional de Planeación, en el cual se refleja el estado de las multas impuestas.</w:t>
      </w:r>
    </w:p>
    <w:p w14:paraId="071CF657" w14:textId="77777777" w:rsidR="007C7EF4" w:rsidRPr="00CD459A" w:rsidRDefault="007C7EF4" w:rsidP="007C7EF4">
      <w:pPr>
        <w:suppressLineNumbers/>
        <w:tabs>
          <w:tab w:val="left" w:pos="-720"/>
        </w:tabs>
        <w:ind w:left="284" w:hanging="284"/>
        <w:jc w:val="both"/>
        <w:rPr>
          <w:rFonts w:ascii="Verdana" w:hAnsi="Verdana" w:cs="Arial"/>
        </w:rPr>
      </w:pPr>
    </w:p>
    <w:p w14:paraId="4690A946" w14:textId="42159203" w:rsidR="007C7EF4" w:rsidRPr="00CD459A" w:rsidRDefault="007C7EF4" w:rsidP="00DA3A85">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36BACDF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El saldo contable por tercero se compara con el informe remitido por el DNP.</w:t>
      </w:r>
    </w:p>
    <w:p w14:paraId="377BD638" w14:textId="77777777" w:rsidR="007C7EF4" w:rsidRPr="00CD459A" w:rsidRDefault="007C7EF4" w:rsidP="007C7EF4">
      <w:pPr>
        <w:suppressLineNumbers/>
        <w:tabs>
          <w:tab w:val="left" w:pos="-720"/>
        </w:tabs>
        <w:ind w:left="284" w:hanging="284"/>
        <w:jc w:val="both"/>
        <w:rPr>
          <w:rFonts w:ascii="Verdana" w:hAnsi="Verdana" w:cs="Arial"/>
        </w:rPr>
      </w:pPr>
    </w:p>
    <w:p w14:paraId="3E21C0CD" w14:textId="4E5AB3D8" w:rsidR="007C7EF4" w:rsidRPr="00CD459A" w:rsidRDefault="007C7EF4" w:rsidP="00331BEC">
      <w:pPr>
        <w:suppressLineNumbers/>
        <w:tabs>
          <w:tab w:val="left" w:pos="-720"/>
        </w:tabs>
        <w:ind w:left="284" w:hanging="284"/>
        <w:jc w:val="both"/>
        <w:rPr>
          <w:rFonts w:ascii="Verdana" w:hAnsi="Verdana" w:cs="Arial"/>
        </w:rPr>
      </w:pPr>
      <w:r w:rsidRPr="00CD459A">
        <w:rPr>
          <w:rFonts w:ascii="Verdana" w:hAnsi="Verdana" w:cs="Arial"/>
        </w:rPr>
        <w:t>REVELACIONES</w:t>
      </w:r>
    </w:p>
    <w:p w14:paraId="2FEE511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lang w:val="es-ES_tradnl"/>
        </w:rPr>
        <w:t>El saldo de la subcuenta será revelado discriminando el derecho que tiene el Sistema General de Regalías por cada tercero.</w:t>
      </w:r>
    </w:p>
    <w:p w14:paraId="00019F71" w14:textId="77777777" w:rsidR="007C7EF4" w:rsidRPr="00CD459A" w:rsidRDefault="007C7EF4" w:rsidP="007C7EF4">
      <w:pPr>
        <w:suppressLineNumbers/>
        <w:tabs>
          <w:tab w:val="left" w:pos="-720"/>
        </w:tabs>
        <w:jc w:val="both"/>
        <w:rPr>
          <w:rFonts w:ascii="Verdana" w:hAnsi="Verdana" w:cs="Arial"/>
        </w:rPr>
      </w:pPr>
    </w:p>
    <w:p w14:paraId="594E53EB"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2CF63C1C" w14:textId="77777777" w:rsidR="007C7EF4" w:rsidRPr="00CD459A" w:rsidRDefault="007C7EF4" w:rsidP="007C7EF4">
      <w:pPr>
        <w:suppressLineNumbers/>
        <w:tabs>
          <w:tab w:val="left" w:pos="-720"/>
        </w:tabs>
        <w:ind w:left="284" w:hanging="284"/>
        <w:jc w:val="both"/>
        <w:rPr>
          <w:rFonts w:ascii="Verdana" w:hAnsi="Verdana" w:cs="Arial"/>
        </w:rPr>
      </w:pPr>
    </w:p>
    <w:p w14:paraId="5151D7A9" w14:textId="466FE96C"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4BCB551F" w14:textId="77777777" w:rsidR="007C7EF4" w:rsidRPr="00CD459A" w:rsidRDefault="007C7EF4" w:rsidP="00AB3D96">
      <w:pPr>
        <w:pStyle w:val="Prrafodelista"/>
        <w:numPr>
          <w:ilvl w:val="0"/>
          <w:numId w:val="89"/>
        </w:numPr>
        <w:spacing w:line="240" w:lineRule="auto"/>
        <w:jc w:val="both"/>
        <w:rPr>
          <w:rFonts w:ascii="Verdana" w:hAnsi="Verdana" w:cs="Arial"/>
        </w:rPr>
      </w:pPr>
      <w:r w:rsidRPr="00CD459A">
        <w:rPr>
          <w:rFonts w:ascii="Verdana" w:hAnsi="Verdana" w:cs="Arial"/>
          <w:lang w:val="es-ES_tradnl"/>
        </w:rPr>
        <w:t xml:space="preserve">El valor de multas impuestas por DNP, cuyo estado de la resolución sea: </w:t>
      </w:r>
    </w:p>
    <w:p w14:paraId="528D6139" w14:textId="77777777" w:rsidR="007C7EF4" w:rsidRPr="00CD459A" w:rsidRDefault="007C7EF4" w:rsidP="00AB3D96">
      <w:pPr>
        <w:pStyle w:val="Prrafodelista"/>
        <w:numPr>
          <w:ilvl w:val="1"/>
          <w:numId w:val="89"/>
        </w:numPr>
        <w:spacing w:line="240" w:lineRule="auto"/>
        <w:jc w:val="both"/>
        <w:rPr>
          <w:rFonts w:ascii="Verdana" w:hAnsi="Verdana" w:cs="Arial"/>
        </w:rPr>
      </w:pPr>
      <w:r w:rsidRPr="00CD459A">
        <w:rPr>
          <w:rFonts w:ascii="Verdana" w:hAnsi="Verdana" w:cs="Arial"/>
        </w:rPr>
        <w:t xml:space="preserve">recursos de reposición o </w:t>
      </w:r>
    </w:p>
    <w:p w14:paraId="14D7B52E" w14:textId="77777777" w:rsidR="007C7EF4" w:rsidRPr="00CD459A" w:rsidRDefault="007C7EF4" w:rsidP="00AB3D96">
      <w:pPr>
        <w:pStyle w:val="Prrafodelista"/>
        <w:numPr>
          <w:ilvl w:val="1"/>
          <w:numId w:val="89"/>
        </w:numPr>
        <w:spacing w:line="240" w:lineRule="auto"/>
        <w:jc w:val="both"/>
        <w:rPr>
          <w:rFonts w:ascii="Verdana" w:hAnsi="Verdana" w:cs="Arial"/>
        </w:rPr>
      </w:pPr>
      <w:r w:rsidRPr="00CD459A">
        <w:rPr>
          <w:rFonts w:ascii="Verdana" w:hAnsi="Verdana" w:cs="Arial"/>
        </w:rPr>
        <w:t>subsidio de apelación</w:t>
      </w:r>
    </w:p>
    <w:p w14:paraId="324E67A6" w14:textId="77777777" w:rsidR="007C7EF4" w:rsidRPr="00CD459A" w:rsidRDefault="007C7EF4" w:rsidP="007C7EF4">
      <w:pPr>
        <w:pStyle w:val="Prrafodelista"/>
        <w:widowControl w:val="0"/>
        <w:autoSpaceDE w:val="0"/>
        <w:autoSpaceDN w:val="0"/>
        <w:adjustRightInd w:val="0"/>
        <w:jc w:val="both"/>
        <w:rPr>
          <w:rFonts w:ascii="Verdana" w:hAnsi="Verdana" w:cs="Arial"/>
        </w:rPr>
      </w:pPr>
    </w:p>
    <w:p w14:paraId="4B16D875" w14:textId="17AF983C"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467AF0AC" w14:textId="77777777" w:rsidR="007C7EF4" w:rsidRPr="00CD459A" w:rsidRDefault="007C7EF4" w:rsidP="00AB3D96">
      <w:pPr>
        <w:pStyle w:val="Prrafodelista"/>
        <w:numPr>
          <w:ilvl w:val="0"/>
          <w:numId w:val="89"/>
        </w:numPr>
        <w:spacing w:line="240" w:lineRule="auto"/>
        <w:jc w:val="both"/>
        <w:rPr>
          <w:rFonts w:ascii="Verdana" w:hAnsi="Verdana" w:cs="Arial"/>
        </w:rPr>
      </w:pPr>
      <w:r w:rsidRPr="00CD459A">
        <w:rPr>
          <w:rFonts w:ascii="Verdana" w:hAnsi="Verdana" w:cs="Arial"/>
          <w:lang w:val="es-ES_tradnl"/>
        </w:rPr>
        <w:t xml:space="preserve">El valor de multas impuestas por DNP, cuyo estado de la resolución sea en firme. </w:t>
      </w:r>
    </w:p>
    <w:tbl>
      <w:tblPr>
        <w:tblW w:w="8875" w:type="dxa"/>
        <w:tblInd w:w="177" w:type="dxa"/>
        <w:tblLayout w:type="fixed"/>
        <w:tblCellMar>
          <w:left w:w="0" w:type="dxa"/>
          <w:right w:w="0" w:type="dxa"/>
        </w:tblCellMar>
        <w:tblLook w:val="01E0" w:firstRow="1" w:lastRow="1" w:firstColumn="1" w:lastColumn="1" w:noHBand="0" w:noVBand="0"/>
      </w:tblPr>
      <w:tblGrid>
        <w:gridCol w:w="2370"/>
        <w:gridCol w:w="3018"/>
        <w:gridCol w:w="3487"/>
      </w:tblGrid>
      <w:tr w:rsidR="00CD459A" w:rsidRPr="00CD459A" w14:paraId="06B78C60" w14:textId="77777777" w:rsidTr="003B74CE">
        <w:trPr>
          <w:trHeight w:hRule="exact" w:val="497"/>
        </w:trPr>
        <w:tc>
          <w:tcPr>
            <w:tcW w:w="2370" w:type="dxa"/>
            <w:tcBorders>
              <w:top w:val="single" w:sz="4" w:space="0" w:color="000000"/>
              <w:left w:val="single" w:sz="4" w:space="0" w:color="000000"/>
              <w:bottom w:val="single" w:sz="4" w:space="0" w:color="000000"/>
              <w:right w:val="single" w:sz="4" w:space="0" w:color="000000"/>
            </w:tcBorders>
            <w:shd w:val="clear" w:color="auto" w:fill="auto"/>
          </w:tcPr>
          <w:p w14:paraId="756FCD19" w14:textId="77777777" w:rsidR="007C7EF4" w:rsidRPr="00CD459A" w:rsidRDefault="007C7EF4" w:rsidP="003B74CE">
            <w:pPr>
              <w:pStyle w:val="TableParagraph"/>
              <w:spacing w:before="83"/>
              <w:ind w:right="719"/>
              <w:jc w:val="center"/>
              <w:rPr>
                <w:rFonts w:ascii="Verdana" w:hAnsi="Verdana" w:cs="Arial"/>
              </w:rPr>
            </w:pPr>
            <w:r w:rsidRPr="00CD459A">
              <w:rPr>
                <w:rFonts w:ascii="Verdana" w:hAnsi="Verdana" w:cs="Arial"/>
                <w:b/>
              </w:rPr>
              <w:t>CLASE</w:t>
            </w:r>
          </w:p>
        </w:tc>
        <w:tc>
          <w:tcPr>
            <w:tcW w:w="3018" w:type="dxa"/>
            <w:tcBorders>
              <w:top w:val="single" w:sz="4" w:space="0" w:color="000000"/>
              <w:left w:val="single" w:sz="4" w:space="0" w:color="000000"/>
              <w:bottom w:val="single" w:sz="4" w:space="0" w:color="000000"/>
              <w:right w:val="single" w:sz="4" w:space="0" w:color="000000"/>
            </w:tcBorders>
            <w:shd w:val="clear" w:color="auto" w:fill="auto"/>
          </w:tcPr>
          <w:p w14:paraId="5D1C3762" w14:textId="77777777" w:rsidR="007C7EF4" w:rsidRPr="00CD459A" w:rsidRDefault="007C7EF4" w:rsidP="003B74CE">
            <w:pPr>
              <w:pStyle w:val="TableParagraph"/>
              <w:spacing w:before="83"/>
              <w:ind w:right="1368"/>
              <w:jc w:val="center"/>
              <w:rPr>
                <w:rFonts w:ascii="Verdana" w:hAnsi="Verdana" w:cs="Arial"/>
              </w:rPr>
            </w:pPr>
            <w:r w:rsidRPr="00CD459A">
              <w:rPr>
                <w:rFonts w:ascii="Verdana" w:hAnsi="Verdana" w:cs="Arial"/>
                <w:b/>
              </w:rPr>
              <w:t>GRUPO</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1E859BD2" w14:textId="77777777" w:rsidR="007C7EF4" w:rsidRPr="00CD459A" w:rsidRDefault="007C7EF4" w:rsidP="003B74CE">
            <w:pPr>
              <w:pStyle w:val="TableParagraph"/>
              <w:spacing w:before="83"/>
              <w:ind w:right="1372"/>
              <w:jc w:val="center"/>
              <w:rPr>
                <w:rFonts w:ascii="Verdana" w:hAnsi="Verdana" w:cs="Arial"/>
              </w:rPr>
            </w:pPr>
            <w:r w:rsidRPr="00CD459A">
              <w:rPr>
                <w:rFonts w:ascii="Verdana" w:hAnsi="Verdana" w:cs="Arial"/>
                <w:b/>
              </w:rPr>
              <w:t>CUENTA</w:t>
            </w:r>
          </w:p>
        </w:tc>
      </w:tr>
      <w:tr w:rsidR="00CD459A" w:rsidRPr="00CD459A" w14:paraId="1EAA186E" w14:textId="77777777" w:rsidTr="003B74CE">
        <w:trPr>
          <w:trHeight w:hRule="exact" w:val="408"/>
        </w:trPr>
        <w:tc>
          <w:tcPr>
            <w:tcW w:w="2370" w:type="dxa"/>
            <w:tcBorders>
              <w:top w:val="single" w:sz="4" w:space="0" w:color="000000"/>
              <w:left w:val="single" w:sz="4" w:space="0" w:color="000000"/>
              <w:bottom w:val="single" w:sz="4" w:space="0" w:color="000000"/>
              <w:right w:val="single" w:sz="4" w:space="0" w:color="000000"/>
            </w:tcBorders>
            <w:shd w:val="clear" w:color="auto" w:fill="auto"/>
          </w:tcPr>
          <w:p w14:paraId="4A91047C"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8</w:t>
            </w:r>
          </w:p>
        </w:tc>
        <w:tc>
          <w:tcPr>
            <w:tcW w:w="3018" w:type="dxa"/>
            <w:tcBorders>
              <w:top w:val="single" w:sz="4" w:space="0" w:color="000000"/>
              <w:left w:val="single" w:sz="4" w:space="0" w:color="000000"/>
              <w:bottom w:val="single" w:sz="4" w:space="0" w:color="000000"/>
              <w:right w:val="single" w:sz="4" w:space="0" w:color="000000"/>
            </w:tcBorders>
            <w:shd w:val="clear" w:color="auto" w:fill="auto"/>
          </w:tcPr>
          <w:p w14:paraId="3865D912"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b/>
              </w:rPr>
              <w:t>89</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36456114" w14:textId="77777777" w:rsidR="007C7EF4" w:rsidRPr="00CD459A" w:rsidRDefault="007C7EF4" w:rsidP="003B74CE">
            <w:pPr>
              <w:jc w:val="both"/>
              <w:rPr>
                <w:rFonts w:ascii="Verdana" w:hAnsi="Verdana" w:cs="Arial"/>
              </w:rPr>
            </w:pPr>
          </w:p>
        </w:tc>
      </w:tr>
      <w:tr w:rsidR="00CD459A" w:rsidRPr="00CD459A" w14:paraId="3E6F4C2E" w14:textId="77777777" w:rsidTr="003B74CE">
        <w:trPr>
          <w:trHeight w:hRule="exact" w:val="764"/>
        </w:trPr>
        <w:tc>
          <w:tcPr>
            <w:tcW w:w="2370" w:type="dxa"/>
            <w:tcBorders>
              <w:top w:val="single" w:sz="4" w:space="0" w:color="000000"/>
              <w:left w:val="single" w:sz="4" w:space="0" w:color="000000"/>
              <w:bottom w:val="single" w:sz="4" w:space="0" w:color="000000"/>
              <w:right w:val="single" w:sz="4" w:space="0" w:color="000000"/>
            </w:tcBorders>
            <w:shd w:val="clear" w:color="auto" w:fill="auto"/>
          </w:tcPr>
          <w:p w14:paraId="7E77F778" w14:textId="77777777" w:rsidR="007C7EF4" w:rsidRPr="00CD459A" w:rsidRDefault="007C7EF4" w:rsidP="003B74CE">
            <w:pPr>
              <w:pStyle w:val="TableParagraph"/>
              <w:spacing w:before="83"/>
              <w:ind w:left="103" w:right="115"/>
              <w:jc w:val="both"/>
              <w:rPr>
                <w:rFonts w:ascii="Verdana" w:hAnsi="Verdana" w:cs="Arial"/>
              </w:rPr>
            </w:pPr>
            <w:r w:rsidRPr="00CD459A">
              <w:rPr>
                <w:rFonts w:ascii="Verdana" w:hAnsi="Verdana" w:cs="Arial"/>
              </w:rPr>
              <w:t>CUENTAS DE ORDEN</w:t>
            </w:r>
            <w:r w:rsidRPr="00CD459A">
              <w:rPr>
                <w:rFonts w:ascii="Verdana" w:hAnsi="Verdana" w:cs="Arial"/>
                <w:spacing w:val="-6"/>
              </w:rPr>
              <w:t xml:space="preserve"> </w:t>
            </w:r>
            <w:r w:rsidRPr="00CD459A">
              <w:rPr>
                <w:rFonts w:ascii="Verdana" w:hAnsi="Verdana" w:cs="Arial"/>
              </w:rPr>
              <w:t>DEUDORAS</w:t>
            </w:r>
          </w:p>
        </w:tc>
        <w:tc>
          <w:tcPr>
            <w:tcW w:w="3018" w:type="dxa"/>
            <w:tcBorders>
              <w:top w:val="single" w:sz="4" w:space="0" w:color="000000"/>
              <w:left w:val="single" w:sz="4" w:space="0" w:color="000000"/>
              <w:bottom w:val="single" w:sz="4" w:space="0" w:color="000000"/>
              <w:right w:val="single" w:sz="4" w:space="0" w:color="000000"/>
            </w:tcBorders>
            <w:shd w:val="clear" w:color="auto" w:fill="auto"/>
          </w:tcPr>
          <w:p w14:paraId="5B5DA9AF" w14:textId="77777777" w:rsidR="007C7EF4" w:rsidRPr="00CD459A" w:rsidRDefault="007C7EF4" w:rsidP="003B74CE">
            <w:pPr>
              <w:pStyle w:val="TableParagraph"/>
              <w:spacing w:before="81"/>
              <w:ind w:left="103" w:right="522"/>
              <w:jc w:val="both"/>
              <w:rPr>
                <w:rFonts w:ascii="Verdana" w:hAnsi="Verdana" w:cs="Arial"/>
              </w:rPr>
            </w:pPr>
            <w:r w:rsidRPr="00CD459A">
              <w:rPr>
                <w:rFonts w:ascii="Verdana" w:hAnsi="Verdana" w:cs="Arial"/>
                <w:b/>
              </w:rPr>
              <w:t>DEUDORAS POR CONTRA</w:t>
            </w:r>
            <w:r w:rsidRPr="00CD459A">
              <w:rPr>
                <w:rFonts w:ascii="Verdana" w:hAnsi="Verdana" w:cs="Arial"/>
                <w:b/>
                <w:spacing w:val="-8"/>
              </w:rPr>
              <w:t xml:space="preserve"> </w:t>
            </w:r>
            <w:r w:rsidRPr="00CD459A">
              <w:rPr>
                <w:rFonts w:ascii="Verdana" w:hAnsi="Verdana" w:cs="Arial"/>
                <w:b/>
              </w:rPr>
              <w:t>(CR)</w:t>
            </w:r>
          </w:p>
        </w:tc>
        <w:tc>
          <w:tcPr>
            <w:tcW w:w="3487" w:type="dxa"/>
            <w:tcBorders>
              <w:top w:val="single" w:sz="4" w:space="0" w:color="000000"/>
              <w:left w:val="single" w:sz="4" w:space="0" w:color="000000"/>
              <w:bottom w:val="single" w:sz="4" w:space="0" w:color="000000"/>
              <w:right w:val="single" w:sz="4" w:space="0" w:color="000000"/>
            </w:tcBorders>
            <w:shd w:val="clear" w:color="auto" w:fill="auto"/>
          </w:tcPr>
          <w:p w14:paraId="3343786A" w14:textId="77777777" w:rsidR="007C7EF4" w:rsidRPr="00CD459A" w:rsidRDefault="007C7EF4" w:rsidP="003B74CE">
            <w:pPr>
              <w:jc w:val="both"/>
              <w:rPr>
                <w:rFonts w:ascii="Verdana" w:hAnsi="Verdana" w:cs="Arial"/>
              </w:rPr>
            </w:pPr>
          </w:p>
        </w:tc>
      </w:tr>
    </w:tbl>
    <w:p w14:paraId="4ECA5A1A" w14:textId="77777777" w:rsidR="007C7EF4" w:rsidRPr="00CD459A" w:rsidRDefault="007C7EF4" w:rsidP="007C7EF4">
      <w:pPr>
        <w:jc w:val="both"/>
        <w:rPr>
          <w:rFonts w:ascii="Verdana" w:hAnsi="Verdana" w:cs="Arial"/>
        </w:rPr>
      </w:pPr>
    </w:p>
    <w:p w14:paraId="521C433C" w14:textId="554F0735" w:rsidR="007C7EF4" w:rsidRPr="00CD459A" w:rsidRDefault="007C7EF4" w:rsidP="00CD459A">
      <w:pPr>
        <w:jc w:val="both"/>
        <w:rPr>
          <w:rFonts w:ascii="Verdana" w:hAnsi="Verdana" w:cs="Arial"/>
        </w:rPr>
      </w:pPr>
      <w:r w:rsidRPr="00CD459A">
        <w:rPr>
          <w:rFonts w:ascii="Verdana" w:hAnsi="Verdana" w:cs="Arial"/>
        </w:rPr>
        <w:t>DESCRIPCIÓN</w:t>
      </w:r>
    </w:p>
    <w:p w14:paraId="214C4724" w14:textId="77777777" w:rsidR="007C7EF4" w:rsidRPr="00CD459A" w:rsidRDefault="007C7EF4" w:rsidP="007C7EF4">
      <w:pPr>
        <w:jc w:val="both"/>
        <w:rPr>
          <w:rFonts w:ascii="Verdana" w:hAnsi="Verdana" w:cs="Arial"/>
        </w:rPr>
      </w:pPr>
      <w:r w:rsidRPr="00CD459A">
        <w:rPr>
          <w:rFonts w:ascii="Verdana" w:hAnsi="Verdana" w:cs="Arial"/>
        </w:rPr>
        <w:t>En esta denominación, se incluyen las cuentas que registran la contrapartida de las cuentas de orden deudoras por concepto de activos contingentes, deudoras fiscales y deudoras de control.</w:t>
      </w:r>
    </w:p>
    <w:p w14:paraId="0651EA9A" w14:textId="77777777" w:rsidR="007C7EF4" w:rsidRPr="00CD459A" w:rsidRDefault="007C7EF4" w:rsidP="007C7EF4">
      <w:pPr>
        <w:jc w:val="both"/>
        <w:rPr>
          <w:rFonts w:ascii="Verdana" w:hAnsi="Verdana" w:cs="Arial"/>
        </w:rPr>
      </w:pPr>
    </w:p>
    <w:p w14:paraId="4BECEF17" w14:textId="7554E7D7" w:rsidR="007C7EF4" w:rsidRPr="00CD459A" w:rsidRDefault="007C7EF4" w:rsidP="007C7EF4">
      <w:pPr>
        <w:jc w:val="both"/>
        <w:rPr>
          <w:rFonts w:ascii="Verdana" w:hAnsi="Verdana" w:cs="Arial"/>
        </w:rPr>
      </w:pPr>
      <w:r w:rsidRPr="00CD459A">
        <w:rPr>
          <w:rFonts w:ascii="Verdana" w:hAnsi="Verdana" w:cs="Arial"/>
        </w:rPr>
        <w:t>OBJETIVO</w:t>
      </w:r>
    </w:p>
    <w:p w14:paraId="5B9D106F"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Definir los lineamientos que se deben tener en cuenta para el reconocimiento, medición, revelación y presentación de las cuentas deudoras por el contra (CR) en los Estados Financieros del Sistema General de Regalias. </w:t>
      </w:r>
    </w:p>
    <w:p w14:paraId="338C4C50" w14:textId="77777777" w:rsidR="007C7EF4" w:rsidRPr="00CD459A" w:rsidRDefault="007C7EF4" w:rsidP="007C7EF4">
      <w:pPr>
        <w:jc w:val="both"/>
        <w:rPr>
          <w:rFonts w:ascii="Verdana" w:hAnsi="Verdana" w:cs="Arial"/>
          <w:lang w:val="es-ES_tradnl" w:eastAsia="es-CO"/>
        </w:rPr>
      </w:pPr>
    </w:p>
    <w:p w14:paraId="651A2FA1" w14:textId="3358EBA5" w:rsidR="007C7EF4" w:rsidRPr="00CD459A" w:rsidRDefault="007C7EF4" w:rsidP="007C7EF4">
      <w:pPr>
        <w:jc w:val="both"/>
        <w:rPr>
          <w:rFonts w:ascii="Verdana" w:hAnsi="Verdana" w:cs="Arial"/>
        </w:rPr>
      </w:pPr>
      <w:r w:rsidRPr="00CD459A">
        <w:rPr>
          <w:rFonts w:ascii="Verdana" w:hAnsi="Verdana" w:cs="Arial"/>
        </w:rPr>
        <w:t xml:space="preserve">ALCANCE </w:t>
      </w:r>
    </w:p>
    <w:p w14:paraId="400511BA" w14:textId="472A0D9C"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Esta política se aplicará en la contabilización de las cuentas deudoras por el contra (CR) del SGR.</w:t>
      </w:r>
    </w:p>
    <w:p w14:paraId="326418A8" w14:textId="59706045" w:rsidR="007C7EF4" w:rsidRPr="00CD459A" w:rsidRDefault="007C7EF4" w:rsidP="00CD459A">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2DDE0E23" w14:textId="77777777" w:rsidTr="003B74CE">
        <w:trPr>
          <w:jc w:val="center"/>
        </w:trPr>
        <w:tc>
          <w:tcPr>
            <w:tcW w:w="4678" w:type="dxa"/>
            <w:tcBorders>
              <w:bottom w:val="single" w:sz="12" w:space="0" w:color="000000"/>
            </w:tcBorders>
            <w:shd w:val="solid" w:color="2F5395" w:fill="FFFFFF"/>
          </w:tcPr>
          <w:p w14:paraId="4512BCB3"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7ADDE66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3ADED92B"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3AD11813"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0295760F"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Grupo 89 – Deudoras por contra (CR) </w:t>
            </w:r>
          </w:p>
        </w:tc>
      </w:tr>
    </w:tbl>
    <w:p w14:paraId="123E178D"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4D5466D4" w14:textId="5EA0C9F3"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39F9C249"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3D9F3A3E"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8895" w:type="dxa"/>
        <w:jc w:val="center"/>
        <w:tblBorders>
          <w:bottom w:val="single" w:sz="12" w:space="0" w:color="000000"/>
        </w:tblBorders>
        <w:tblLook w:val="0420" w:firstRow="1" w:lastRow="0" w:firstColumn="0" w:lastColumn="0" w:noHBand="0" w:noVBand="1"/>
      </w:tblPr>
      <w:tblGrid>
        <w:gridCol w:w="2006"/>
        <w:gridCol w:w="721"/>
        <w:gridCol w:w="571"/>
        <w:gridCol w:w="1522"/>
        <w:gridCol w:w="4020"/>
        <w:gridCol w:w="55"/>
      </w:tblGrid>
      <w:tr w:rsidR="00CD459A" w:rsidRPr="00CD459A" w14:paraId="62472606" w14:textId="77777777" w:rsidTr="003B74CE">
        <w:trPr>
          <w:gridAfter w:val="1"/>
          <w:wAfter w:w="55" w:type="dxa"/>
          <w:jc w:val="center"/>
        </w:trPr>
        <w:tc>
          <w:tcPr>
            <w:tcW w:w="2727" w:type="dxa"/>
            <w:gridSpan w:val="2"/>
            <w:tcBorders>
              <w:bottom w:val="single" w:sz="12" w:space="0" w:color="000000"/>
            </w:tcBorders>
            <w:shd w:val="solid" w:color="2F5395" w:fill="FFFFFF"/>
          </w:tcPr>
          <w:p w14:paraId="208A408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6113" w:type="dxa"/>
            <w:gridSpan w:val="3"/>
            <w:tcBorders>
              <w:bottom w:val="single" w:sz="12" w:space="0" w:color="000000"/>
            </w:tcBorders>
            <w:shd w:val="solid" w:color="2F5395" w:fill="FFFFFF"/>
          </w:tcPr>
          <w:p w14:paraId="72DB4DD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720C8A44" w14:textId="77777777" w:rsidTr="003B74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5" w:type="dxa"/>
          <w:trHeight w:val="223"/>
          <w:jc w:val="center"/>
        </w:trPr>
        <w:tc>
          <w:tcPr>
            <w:tcW w:w="3298" w:type="dxa"/>
            <w:gridSpan w:val="3"/>
            <w:shd w:val="pct20" w:color="FFFFFF" w:fill="FFFFFF"/>
            <w:vAlign w:val="center"/>
          </w:tcPr>
          <w:p w14:paraId="5E8A8F11"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 xml:space="preserve">Departamento Nacional de Planeación </w:t>
            </w:r>
          </w:p>
        </w:tc>
        <w:tc>
          <w:tcPr>
            <w:tcW w:w="5542" w:type="dxa"/>
            <w:gridSpan w:val="2"/>
            <w:shd w:val="pct20" w:color="FFFFFF" w:fill="FFFFFF"/>
            <w:vAlign w:val="center"/>
          </w:tcPr>
          <w:p w14:paraId="049F65AE"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Informar acerca de los actos administrativos que imponen multas a favor del SGR.</w:t>
            </w:r>
          </w:p>
        </w:tc>
      </w:tr>
      <w:tr w:rsidR="00CD459A" w:rsidRPr="00CD459A" w14:paraId="57074CAD" w14:textId="77777777" w:rsidTr="003B74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55" w:type="dxa"/>
          <w:trHeight w:val="223"/>
          <w:jc w:val="center"/>
        </w:trPr>
        <w:tc>
          <w:tcPr>
            <w:tcW w:w="3298" w:type="dxa"/>
            <w:gridSpan w:val="3"/>
            <w:tcBorders>
              <w:top w:val="single" w:sz="4" w:space="0" w:color="auto"/>
              <w:left w:val="single" w:sz="4" w:space="0" w:color="auto"/>
              <w:bottom w:val="single" w:sz="4" w:space="0" w:color="auto"/>
              <w:right w:val="single" w:sz="4" w:space="0" w:color="auto"/>
            </w:tcBorders>
            <w:shd w:val="pct20" w:color="FFFFFF" w:fill="FFFFFF"/>
            <w:vAlign w:val="center"/>
          </w:tcPr>
          <w:p w14:paraId="66214C89" w14:textId="77777777" w:rsidR="007C7EF4" w:rsidRPr="00CD459A" w:rsidRDefault="007C7EF4" w:rsidP="003B74CE">
            <w:pPr>
              <w:jc w:val="both"/>
              <w:rPr>
                <w:rFonts w:ascii="Verdana" w:hAnsi="Verdana" w:cs="Arial"/>
                <w:bCs/>
                <w:lang w:val="es-ES_tradnl"/>
              </w:rPr>
            </w:pPr>
            <w:r w:rsidRPr="00CD459A">
              <w:rPr>
                <w:rFonts w:ascii="Verdana" w:hAnsi="Verdana" w:cs="Arial"/>
                <w:bCs/>
                <w:lang w:val="es-ES_tradnl"/>
              </w:rPr>
              <w:t>Grupo de Contabilidad SGR</w:t>
            </w:r>
          </w:p>
        </w:tc>
        <w:tc>
          <w:tcPr>
            <w:tcW w:w="5542" w:type="dxa"/>
            <w:gridSpan w:val="2"/>
            <w:tcBorders>
              <w:top w:val="single" w:sz="4" w:space="0" w:color="auto"/>
              <w:left w:val="single" w:sz="4" w:space="0" w:color="auto"/>
              <w:bottom w:val="single" w:sz="4" w:space="0" w:color="auto"/>
              <w:right w:val="single" w:sz="4" w:space="0" w:color="auto"/>
            </w:tcBorders>
            <w:shd w:val="pct20" w:color="FFFFFF" w:fill="FFFFFF"/>
            <w:vAlign w:val="center"/>
          </w:tcPr>
          <w:p w14:paraId="26820B19"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del DNP para realizar el registro, medición y revelación contable correspondiente.</w:t>
            </w:r>
          </w:p>
          <w:p w14:paraId="65F08410"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Conciliar y depurar las partidas de las cuentas por contra CR.</w:t>
            </w:r>
          </w:p>
        </w:tc>
      </w:tr>
      <w:tr w:rsidR="00CD459A" w:rsidRPr="00CD459A" w14:paraId="2936A849" w14:textId="77777777" w:rsidTr="003B74CE">
        <w:tblPrEx>
          <w:jc w:val="left"/>
          <w:tblBorders>
            <w:bottom w:val="none" w:sz="0" w:space="0" w:color="auto"/>
          </w:tblBorders>
          <w:tblCellMar>
            <w:left w:w="0" w:type="dxa"/>
            <w:right w:w="0" w:type="dxa"/>
          </w:tblCellMar>
          <w:tblLook w:val="01E0" w:firstRow="1" w:lastRow="1" w:firstColumn="1" w:lastColumn="1" w:noHBand="0" w:noVBand="0"/>
        </w:tblPrEx>
        <w:trPr>
          <w:trHeight w:hRule="exact" w:val="448"/>
        </w:trPr>
        <w:tc>
          <w:tcPr>
            <w:tcW w:w="2006" w:type="dxa"/>
            <w:tcBorders>
              <w:top w:val="single" w:sz="4" w:space="0" w:color="000000"/>
              <w:left w:val="single" w:sz="4" w:space="0" w:color="000000"/>
              <w:bottom w:val="single" w:sz="4" w:space="0" w:color="000000"/>
              <w:right w:val="single" w:sz="4" w:space="0" w:color="000000"/>
            </w:tcBorders>
            <w:shd w:val="clear" w:color="auto" w:fill="auto"/>
          </w:tcPr>
          <w:p w14:paraId="4E157425" w14:textId="77777777" w:rsidR="007C7EF4" w:rsidRPr="00CD459A" w:rsidRDefault="007C7EF4" w:rsidP="003B74CE">
            <w:pPr>
              <w:pStyle w:val="TableParagraph"/>
              <w:spacing w:before="81"/>
              <w:ind w:right="728"/>
              <w:jc w:val="center"/>
              <w:rPr>
                <w:rFonts w:ascii="Verdana" w:hAnsi="Verdana" w:cs="Arial"/>
              </w:rPr>
            </w:pPr>
            <w:r w:rsidRPr="00CD459A">
              <w:rPr>
                <w:rFonts w:ascii="Verdana" w:hAnsi="Verdana" w:cs="Arial"/>
                <w:b/>
              </w:rPr>
              <w:t>CLASE</w:t>
            </w:r>
          </w:p>
        </w:tc>
        <w:tc>
          <w:tcPr>
            <w:tcW w:w="2814" w:type="dxa"/>
            <w:gridSpan w:val="3"/>
            <w:tcBorders>
              <w:top w:val="single" w:sz="4" w:space="0" w:color="000000"/>
              <w:left w:val="single" w:sz="4" w:space="0" w:color="000000"/>
              <w:bottom w:val="single" w:sz="4" w:space="0" w:color="000000"/>
              <w:right w:val="single" w:sz="4" w:space="0" w:color="000000"/>
            </w:tcBorders>
            <w:shd w:val="clear" w:color="auto" w:fill="auto"/>
          </w:tcPr>
          <w:p w14:paraId="28158D7A"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4075" w:type="dxa"/>
            <w:gridSpan w:val="2"/>
            <w:tcBorders>
              <w:top w:val="single" w:sz="4" w:space="0" w:color="000000"/>
              <w:left w:val="single" w:sz="4" w:space="0" w:color="000000"/>
              <w:bottom w:val="single" w:sz="4" w:space="0" w:color="000000"/>
              <w:right w:val="single" w:sz="4" w:space="0" w:color="000000"/>
            </w:tcBorders>
            <w:shd w:val="clear" w:color="auto" w:fill="auto"/>
          </w:tcPr>
          <w:p w14:paraId="5DE15996" w14:textId="77777777" w:rsidR="007C7EF4" w:rsidRPr="00CD459A" w:rsidRDefault="007C7EF4" w:rsidP="003B74CE">
            <w:pPr>
              <w:pStyle w:val="TableParagraph"/>
              <w:spacing w:before="81"/>
              <w:ind w:right="1372"/>
              <w:jc w:val="center"/>
              <w:rPr>
                <w:rFonts w:ascii="Verdana" w:hAnsi="Verdana" w:cs="Arial"/>
              </w:rPr>
            </w:pPr>
            <w:r w:rsidRPr="00CD459A">
              <w:rPr>
                <w:rFonts w:ascii="Verdana" w:hAnsi="Verdana" w:cs="Arial"/>
                <w:b/>
              </w:rPr>
              <w:t>CUENTA</w:t>
            </w:r>
          </w:p>
        </w:tc>
      </w:tr>
      <w:tr w:rsidR="00CD459A" w:rsidRPr="00CD459A" w14:paraId="3469F8ED" w14:textId="77777777" w:rsidTr="003B74CE">
        <w:tblPrEx>
          <w:jc w:val="left"/>
          <w:tblBorders>
            <w:bottom w:val="none" w:sz="0" w:space="0" w:color="auto"/>
          </w:tblBorders>
          <w:tblCellMar>
            <w:left w:w="0" w:type="dxa"/>
            <w:right w:w="0" w:type="dxa"/>
          </w:tblCellMar>
          <w:tblLook w:val="01E0" w:firstRow="1" w:lastRow="1" w:firstColumn="1" w:lastColumn="1" w:noHBand="0" w:noVBand="0"/>
        </w:tblPrEx>
        <w:trPr>
          <w:trHeight w:hRule="exact" w:val="412"/>
        </w:trPr>
        <w:tc>
          <w:tcPr>
            <w:tcW w:w="2006" w:type="dxa"/>
            <w:tcBorders>
              <w:top w:val="single" w:sz="4" w:space="0" w:color="000000"/>
              <w:left w:val="single" w:sz="4" w:space="0" w:color="000000"/>
              <w:bottom w:val="single" w:sz="4" w:space="0" w:color="000000"/>
              <w:right w:val="single" w:sz="4" w:space="0" w:color="000000"/>
            </w:tcBorders>
            <w:shd w:val="clear" w:color="auto" w:fill="auto"/>
          </w:tcPr>
          <w:p w14:paraId="30E2B55D"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8</w:t>
            </w:r>
          </w:p>
        </w:tc>
        <w:tc>
          <w:tcPr>
            <w:tcW w:w="2814" w:type="dxa"/>
            <w:gridSpan w:val="3"/>
            <w:tcBorders>
              <w:top w:val="single" w:sz="4" w:space="0" w:color="000000"/>
              <w:left w:val="single" w:sz="4" w:space="0" w:color="000000"/>
              <w:bottom w:val="single" w:sz="4" w:space="0" w:color="000000"/>
              <w:right w:val="single" w:sz="4" w:space="0" w:color="000000"/>
            </w:tcBorders>
            <w:shd w:val="clear" w:color="auto" w:fill="auto"/>
          </w:tcPr>
          <w:p w14:paraId="04547726"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89</w:t>
            </w:r>
          </w:p>
        </w:tc>
        <w:tc>
          <w:tcPr>
            <w:tcW w:w="4075" w:type="dxa"/>
            <w:gridSpan w:val="2"/>
            <w:tcBorders>
              <w:top w:val="single" w:sz="4" w:space="0" w:color="000000"/>
              <w:left w:val="single" w:sz="4" w:space="0" w:color="000000"/>
              <w:bottom w:val="single" w:sz="4" w:space="0" w:color="000000"/>
              <w:right w:val="single" w:sz="4" w:space="0" w:color="000000"/>
            </w:tcBorders>
            <w:shd w:val="clear" w:color="auto" w:fill="auto"/>
          </w:tcPr>
          <w:p w14:paraId="376B8F6C" w14:textId="77777777" w:rsidR="007C7EF4" w:rsidRPr="00CD459A" w:rsidRDefault="007C7EF4" w:rsidP="003B74CE">
            <w:pPr>
              <w:pStyle w:val="TableParagraph"/>
              <w:spacing w:before="81"/>
              <w:ind w:left="100" w:right="235"/>
              <w:jc w:val="both"/>
              <w:rPr>
                <w:rFonts w:ascii="Verdana" w:hAnsi="Verdana" w:cs="Arial"/>
              </w:rPr>
            </w:pPr>
            <w:r w:rsidRPr="00CD459A">
              <w:rPr>
                <w:rFonts w:ascii="Verdana" w:hAnsi="Verdana" w:cs="Arial"/>
                <w:b/>
              </w:rPr>
              <w:t>890590</w:t>
            </w:r>
          </w:p>
        </w:tc>
      </w:tr>
      <w:tr w:rsidR="00CD459A" w:rsidRPr="00CD459A" w14:paraId="4CC369B6" w14:textId="77777777" w:rsidTr="003B74CE">
        <w:tblPrEx>
          <w:jc w:val="left"/>
          <w:tblBorders>
            <w:bottom w:val="none" w:sz="0" w:space="0" w:color="auto"/>
          </w:tblBorders>
          <w:tblCellMar>
            <w:left w:w="0" w:type="dxa"/>
            <w:right w:w="0" w:type="dxa"/>
          </w:tblCellMar>
          <w:tblLook w:val="01E0" w:firstRow="1" w:lastRow="1" w:firstColumn="1" w:lastColumn="1" w:noHBand="0" w:noVBand="0"/>
        </w:tblPrEx>
        <w:trPr>
          <w:trHeight w:hRule="exact" w:val="881"/>
        </w:trPr>
        <w:tc>
          <w:tcPr>
            <w:tcW w:w="2006" w:type="dxa"/>
            <w:tcBorders>
              <w:top w:val="single" w:sz="4" w:space="0" w:color="000000"/>
              <w:left w:val="single" w:sz="4" w:space="0" w:color="000000"/>
              <w:bottom w:val="single" w:sz="4" w:space="0" w:color="000000"/>
              <w:right w:val="single" w:sz="4" w:space="0" w:color="000000"/>
            </w:tcBorders>
            <w:shd w:val="clear" w:color="auto" w:fill="auto"/>
          </w:tcPr>
          <w:p w14:paraId="607F7C01" w14:textId="77777777" w:rsidR="007C7EF4" w:rsidRPr="00CD459A" w:rsidRDefault="007C7EF4" w:rsidP="003B74CE">
            <w:pPr>
              <w:pStyle w:val="TableParagraph"/>
              <w:spacing w:before="83"/>
              <w:ind w:left="103" w:right="176"/>
              <w:jc w:val="both"/>
              <w:rPr>
                <w:rFonts w:ascii="Verdana" w:hAnsi="Verdana" w:cs="Arial"/>
              </w:rPr>
            </w:pPr>
            <w:r w:rsidRPr="00CD459A">
              <w:rPr>
                <w:rFonts w:ascii="Verdana" w:hAnsi="Verdana" w:cs="Arial"/>
              </w:rPr>
              <w:t>CUENTAS DE ORDEN</w:t>
            </w:r>
            <w:r w:rsidRPr="00CD459A">
              <w:rPr>
                <w:rFonts w:ascii="Verdana" w:hAnsi="Verdana" w:cs="Arial"/>
                <w:spacing w:val="-6"/>
              </w:rPr>
              <w:t xml:space="preserve"> </w:t>
            </w:r>
            <w:r w:rsidRPr="00CD459A">
              <w:rPr>
                <w:rFonts w:ascii="Verdana" w:hAnsi="Verdana" w:cs="Arial"/>
              </w:rPr>
              <w:t>DEUDORAS</w:t>
            </w:r>
          </w:p>
        </w:tc>
        <w:tc>
          <w:tcPr>
            <w:tcW w:w="2814" w:type="dxa"/>
            <w:gridSpan w:val="3"/>
            <w:tcBorders>
              <w:top w:val="single" w:sz="4" w:space="0" w:color="000000"/>
              <w:left w:val="single" w:sz="4" w:space="0" w:color="000000"/>
              <w:bottom w:val="single" w:sz="4" w:space="0" w:color="000000"/>
              <w:right w:val="single" w:sz="4" w:space="0" w:color="000000"/>
            </w:tcBorders>
            <w:shd w:val="clear" w:color="auto" w:fill="auto"/>
          </w:tcPr>
          <w:p w14:paraId="15C51F63" w14:textId="77777777" w:rsidR="007C7EF4" w:rsidRPr="00CD459A" w:rsidRDefault="007C7EF4" w:rsidP="003B74CE">
            <w:pPr>
              <w:pStyle w:val="TableParagraph"/>
              <w:spacing w:before="81"/>
              <w:ind w:left="103" w:right="414"/>
              <w:jc w:val="both"/>
              <w:rPr>
                <w:rFonts w:ascii="Verdana" w:hAnsi="Verdana" w:cs="Arial"/>
              </w:rPr>
            </w:pPr>
            <w:r w:rsidRPr="00CD459A">
              <w:rPr>
                <w:rFonts w:ascii="Verdana" w:hAnsi="Verdana" w:cs="Arial"/>
              </w:rPr>
              <w:t>DEUDORAS POR CONTRA</w:t>
            </w:r>
            <w:r w:rsidRPr="00CD459A">
              <w:rPr>
                <w:rFonts w:ascii="Verdana" w:hAnsi="Verdana" w:cs="Arial"/>
                <w:spacing w:val="-17"/>
              </w:rPr>
              <w:t xml:space="preserve"> </w:t>
            </w:r>
            <w:r w:rsidRPr="00CD459A">
              <w:rPr>
                <w:rFonts w:ascii="Verdana" w:hAnsi="Verdana" w:cs="Arial"/>
              </w:rPr>
              <w:t>(CR)</w:t>
            </w:r>
          </w:p>
        </w:tc>
        <w:tc>
          <w:tcPr>
            <w:tcW w:w="4075" w:type="dxa"/>
            <w:gridSpan w:val="2"/>
            <w:tcBorders>
              <w:top w:val="single" w:sz="4" w:space="0" w:color="000000"/>
              <w:left w:val="single" w:sz="4" w:space="0" w:color="000000"/>
              <w:bottom w:val="single" w:sz="4" w:space="0" w:color="000000"/>
              <w:right w:val="single" w:sz="4" w:space="0" w:color="000000"/>
            </w:tcBorders>
            <w:shd w:val="clear" w:color="auto" w:fill="auto"/>
          </w:tcPr>
          <w:p w14:paraId="4651D774" w14:textId="77777777" w:rsidR="007C7EF4" w:rsidRPr="00CD459A" w:rsidRDefault="007C7EF4" w:rsidP="003B74CE">
            <w:pPr>
              <w:pStyle w:val="TableParagraph"/>
              <w:spacing w:before="83"/>
              <w:ind w:left="100" w:right="657"/>
              <w:jc w:val="both"/>
              <w:rPr>
                <w:rFonts w:ascii="Verdana" w:hAnsi="Verdana" w:cs="Arial"/>
                <w:lang w:val="es-CO"/>
              </w:rPr>
            </w:pPr>
            <w:r w:rsidRPr="00CD459A">
              <w:rPr>
                <w:rFonts w:ascii="Verdana" w:hAnsi="Verdana" w:cs="Arial"/>
                <w:b/>
                <w:lang w:val="es-CO"/>
              </w:rPr>
              <w:t>OTROS ACTIVOS CONTIGENTES POR EL CONTRARIO (CR)</w:t>
            </w:r>
          </w:p>
        </w:tc>
      </w:tr>
    </w:tbl>
    <w:p w14:paraId="7FBB4C85" w14:textId="77777777" w:rsidR="007C7EF4" w:rsidRPr="00CD459A" w:rsidRDefault="007C7EF4" w:rsidP="007C7EF4">
      <w:pPr>
        <w:jc w:val="both"/>
        <w:rPr>
          <w:rFonts w:ascii="Verdana" w:hAnsi="Verdana" w:cs="Arial"/>
        </w:rPr>
      </w:pPr>
    </w:p>
    <w:p w14:paraId="1F595945" w14:textId="69F45D00" w:rsidR="007C7EF4" w:rsidRPr="00CD459A" w:rsidRDefault="007C7EF4" w:rsidP="007C7EF4">
      <w:pPr>
        <w:jc w:val="both"/>
        <w:rPr>
          <w:rFonts w:ascii="Verdana" w:hAnsi="Verdana" w:cs="Arial"/>
        </w:rPr>
      </w:pPr>
      <w:r w:rsidRPr="00CD459A">
        <w:rPr>
          <w:rFonts w:ascii="Verdana" w:hAnsi="Verdana" w:cs="Arial"/>
        </w:rPr>
        <w:t>DESCRIPCIÓN</w:t>
      </w:r>
    </w:p>
    <w:p w14:paraId="41C280B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En esta cuenta se clasifican las operaciones correspondientes al registro de las resoluciones que se encuentran con recursos de reposición o subsidio de apelación emitidas por el DNP imponiendo multas contempladas en el artículo 117 de la ley 1530 de 2012 a los representantes legales de entidades territoriales como resultado del SMSCyE del SGR</w:t>
      </w:r>
    </w:p>
    <w:p w14:paraId="5DD18FE0" w14:textId="77777777" w:rsidR="007C7EF4" w:rsidRPr="00CD459A" w:rsidRDefault="007C7EF4" w:rsidP="007C7EF4">
      <w:pPr>
        <w:jc w:val="both"/>
        <w:rPr>
          <w:rFonts w:ascii="Verdana" w:hAnsi="Verdana" w:cs="Arial"/>
        </w:rPr>
      </w:pPr>
    </w:p>
    <w:p w14:paraId="723D7B23" w14:textId="2674EB5A" w:rsidR="007C7EF4" w:rsidRPr="00CD459A" w:rsidRDefault="007C7EF4" w:rsidP="007C7EF4">
      <w:pPr>
        <w:jc w:val="both"/>
        <w:rPr>
          <w:rFonts w:ascii="Verdana" w:hAnsi="Verdana" w:cs="Arial"/>
        </w:rPr>
      </w:pPr>
      <w:r w:rsidRPr="00CD459A">
        <w:rPr>
          <w:rFonts w:ascii="Verdana" w:hAnsi="Verdana" w:cs="Arial"/>
        </w:rPr>
        <w:t>MEDICIÓN</w:t>
      </w:r>
    </w:p>
    <w:p w14:paraId="3BA9ECA5" w14:textId="77777777" w:rsidR="007C7EF4" w:rsidRPr="00CD459A" w:rsidRDefault="007C7EF4" w:rsidP="007C7EF4">
      <w:pPr>
        <w:jc w:val="both"/>
        <w:rPr>
          <w:rFonts w:ascii="Verdana" w:hAnsi="Verdana" w:cs="Arial"/>
        </w:rPr>
      </w:pPr>
      <w:r w:rsidRPr="00CD459A">
        <w:rPr>
          <w:rFonts w:ascii="Verdana" w:hAnsi="Verdana" w:cs="Arial"/>
        </w:rPr>
        <w:t xml:space="preserve">El valor de la multa impuesta será expresado al salario mínimo legal de la vigencia correspondiente. </w:t>
      </w:r>
    </w:p>
    <w:p w14:paraId="00E84465" w14:textId="77777777" w:rsidR="007C7EF4" w:rsidRPr="00CD459A" w:rsidRDefault="007C7EF4" w:rsidP="007C7EF4">
      <w:pPr>
        <w:suppressLineNumbers/>
        <w:tabs>
          <w:tab w:val="left" w:pos="-720"/>
        </w:tabs>
        <w:ind w:left="284" w:hanging="284"/>
        <w:jc w:val="both"/>
        <w:rPr>
          <w:rFonts w:ascii="Verdana" w:hAnsi="Verdana" w:cs="Arial"/>
        </w:rPr>
      </w:pPr>
    </w:p>
    <w:p w14:paraId="038AF988" w14:textId="626060F8"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0593772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Informe emitido por el Departamento Nacional de Planeación, en el cual se refleja el estado de las multas impuestas.</w:t>
      </w:r>
    </w:p>
    <w:p w14:paraId="054ED51C" w14:textId="77777777" w:rsidR="007C7EF4" w:rsidRPr="00CD459A" w:rsidRDefault="007C7EF4" w:rsidP="007C7EF4">
      <w:pPr>
        <w:suppressLineNumbers/>
        <w:tabs>
          <w:tab w:val="left" w:pos="-720"/>
        </w:tabs>
        <w:ind w:left="284" w:hanging="284"/>
        <w:jc w:val="both"/>
        <w:rPr>
          <w:rFonts w:ascii="Verdana" w:hAnsi="Verdana" w:cs="Arial"/>
        </w:rPr>
      </w:pPr>
    </w:p>
    <w:p w14:paraId="3A872A53" w14:textId="67AC91C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6E6F7BF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El saldo contable por tercero se compara con el informe remitido por el DNP.</w:t>
      </w:r>
    </w:p>
    <w:p w14:paraId="45F33C9F" w14:textId="77777777" w:rsidR="007C7EF4" w:rsidRPr="00CD459A" w:rsidRDefault="007C7EF4" w:rsidP="007C7EF4">
      <w:pPr>
        <w:suppressLineNumbers/>
        <w:tabs>
          <w:tab w:val="left" w:pos="-720"/>
        </w:tabs>
        <w:ind w:left="284" w:hanging="284"/>
        <w:jc w:val="both"/>
        <w:rPr>
          <w:rFonts w:ascii="Verdana" w:hAnsi="Verdana" w:cs="Arial"/>
        </w:rPr>
      </w:pPr>
    </w:p>
    <w:p w14:paraId="2C485C2C" w14:textId="747FD8C9"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6F04C21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lang w:val="es-ES_tradnl"/>
        </w:rPr>
        <w:t>El saldo de la subcuenta será revelado discriminando el derecho que tiene el Sistema General de Regalías por cada tercero.</w:t>
      </w:r>
    </w:p>
    <w:p w14:paraId="2497292D" w14:textId="77777777" w:rsidR="007C7EF4" w:rsidRPr="00CD459A" w:rsidRDefault="007C7EF4" w:rsidP="007C7EF4">
      <w:pPr>
        <w:suppressLineNumbers/>
        <w:tabs>
          <w:tab w:val="left" w:pos="-720"/>
        </w:tabs>
        <w:jc w:val="both"/>
        <w:rPr>
          <w:rFonts w:ascii="Verdana" w:hAnsi="Verdana" w:cs="Arial"/>
        </w:rPr>
      </w:pPr>
    </w:p>
    <w:p w14:paraId="561372F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32F7DB3" w14:textId="77777777" w:rsidR="007C7EF4" w:rsidRPr="00CD459A" w:rsidRDefault="007C7EF4" w:rsidP="007C7EF4">
      <w:pPr>
        <w:suppressLineNumbers/>
        <w:tabs>
          <w:tab w:val="left" w:pos="-720"/>
        </w:tabs>
        <w:ind w:left="284" w:hanging="284"/>
        <w:jc w:val="both"/>
        <w:rPr>
          <w:rFonts w:ascii="Verdana" w:hAnsi="Verdana" w:cs="Arial"/>
        </w:rPr>
      </w:pPr>
    </w:p>
    <w:p w14:paraId="6C6191F6" w14:textId="43A96524"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bCs/>
        </w:rPr>
        <w:t>SE DEBITA CON</w:t>
      </w:r>
      <w:r w:rsidRPr="00CD459A">
        <w:rPr>
          <w:rFonts w:ascii="Verdana" w:hAnsi="Verdana" w:cs="Arial"/>
        </w:rPr>
        <w:t>:</w:t>
      </w:r>
    </w:p>
    <w:p w14:paraId="762968B3" w14:textId="77777777" w:rsidR="007C7EF4" w:rsidRPr="00CD459A" w:rsidRDefault="007C7EF4" w:rsidP="00AB3D96">
      <w:pPr>
        <w:pStyle w:val="Prrafodelista"/>
        <w:numPr>
          <w:ilvl w:val="0"/>
          <w:numId w:val="89"/>
        </w:numPr>
        <w:spacing w:line="240" w:lineRule="auto"/>
        <w:jc w:val="both"/>
        <w:rPr>
          <w:rFonts w:ascii="Verdana" w:hAnsi="Verdana" w:cs="Arial"/>
        </w:rPr>
      </w:pPr>
      <w:r w:rsidRPr="00CD459A">
        <w:rPr>
          <w:rFonts w:ascii="Verdana" w:hAnsi="Verdana" w:cs="Arial"/>
          <w:lang w:val="es-ES_tradnl"/>
        </w:rPr>
        <w:t xml:space="preserve">El valor de multas impuestas por DNP, cuyo estado de la resolución sea en firme. </w:t>
      </w:r>
    </w:p>
    <w:p w14:paraId="2F9EA72B" w14:textId="77777777" w:rsidR="00CD459A" w:rsidRPr="00CD459A" w:rsidRDefault="00CD459A" w:rsidP="00CD459A">
      <w:pPr>
        <w:pStyle w:val="Prrafodelista"/>
        <w:spacing w:line="240" w:lineRule="auto"/>
        <w:jc w:val="both"/>
        <w:rPr>
          <w:rFonts w:ascii="Verdana" w:hAnsi="Verdana" w:cs="Arial"/>
        </w:rPr>
      </w:pPr>
    </w:p>
    <w:p w14:paraId="505E0CDF" w14:textId="10846F2A"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SE ACREDITA CON:</w:t>
      </w:r>
    </w:p>
    <w:p w14:paraId="4320AE90" w14:textId="77777777" w:rsidR="007C7EF4" w:rsidRPr="00CD459A" w:rsidRDefault="007C7EF4" w:rsidP="00AB3D96">
      <w:pPr>
        <w:pStyle w:val="Prrafodelista"/>
        <w:numPr>
          <w:ilvl w:val="0"/>
          <w:numId w:val="89"/>
        </w:numPr>
        <w:spacing w:line="240" w:lineRule="auto"/>
        <w:jc w:val="both"/>
        <w:rPr>
          <w:rFonts w:ascii="Verdana" w:hAnsi="Verdana" w:cs="Arial"/>
        </w:rPr>
      </w:pPr>
      <w:r w:rsidRPr="00CD459A">
        <w:rPr>
          <w:rFonts w:ascii="Verdana" w:hAnsi="Verdana" w:cs="Arial"/>
          <w:lang w:val="es-ES_tradnl"/>
        </w:rPr>
        <w:t xml:space="preserve">El valor de multas impuestas por DNP, cuyo estado de la resolución sea: </w:t>
      </w:r>
    </w:p>
    <w:p w14:paraId="57D5A533" w14:textId="77777777" w:rsidR="007C7EF4" w:rsidRPr="00CD459A" w:rsidRDefault="007C7EF4" w:rsidP="00AB3D96">
      <w:pPr>
        <w:pStyle w:val="Prrafodelista"/>
        <w:numPr>
          <w:ilvl w:val="1"/>
          <w:numId w:val="89"/>
        </w:numPr>
        <w:spacing w:line="240" w:lineRule="auto"/>
        <w:jc w:val="both"/>
        <w:rPr>
          <w:rFonts w:ascii="Verdana" w:hAnsi="Verdana" w:cs="Arial"/>
        </w:rPr>
      </w:pPr>
      <w:r w:rsidRPr="00CD459A">
        <w:rPr>
          <w:rFonts w:ascii="Verdana" w:hAnsi="Verdana" w:cs="Arial"/>
        </w:rPr>
        <w:t xml:space="preserve">recursos de reposición o </w:t>
      </w:r>
    </w:p>
    <w:p w14:paraId="3A2F7C08" w14:textId="77777777" w:rsidR="007C7EF4" w:rsidRPr="00CD459A" w:rsidRDefault="007C7EF4" w:rsidP="00AB3D96">
      <w:pPr>
        <w:pStyle w:val="Prrafodelista"/>
        <w:numPr>
          <w:ilvl w:val="1"/>
          <w:numId w:val="89"/>
        </w:numPr>
        <w:spacing w:line="240" w:lineRule="auto"/>
        <w:jc w:val="both"/>
        <w:rPr>
          <w:rFonts w:ascii="Verdana" w:hAnsi="Verdana" w:cs="Arial"/>
        </w:rPr>
      </w:pPr>
      <w:r w:rsidRPr="00CD459A">
        <w:rPr>
          <w:rFonts w:ascii="Verdana" w:hAnsi="Verdana" w:cs="Arial"/>
        </w:rPr>
        <w:t>subsidio de apelación</w:t>
      </w:r>
    </w:p>
    <w:p w14:paraId="4AB604F7" w14:textId="77777777" w:rsidR="007C7EF4" w:rsidRPr="00CD459A" w:rsidRDefault="007C7EF4" w:rsidP="007C7EF4">
      <w:pPr>
        <w:widowControl w:val="0"/>
        <w:autoSpaceDE w:val="0"/>
        <w:autoSpaceDN w:val="0"/>
        <w:adjustRightInd w:val="0"/>
        <w:jc w:val="both"/>
        <w:rPr>
          <w:rFonts w:ascii="Verdana" w:hAnsi="Verdana" w:cs="Arial"/>
          <w:bCs/>
        </w:rPr>
      </w:pPr>
    </w:p>
    <w:tbl>
      <w:tblPr>
        <w:tblW w:w="8874" w:type="dxa"/>
        <w:tblInd w:w="177" w:type="dxa"/>
        <w:tblLayout w:type="fixed"/>
        <w:tblCellMar>
          <w:left w:w="0" w:type="dxa"/>
          <w:right w:w="0" w:type="dxa"/>
        </w:tblCellMar>
        <w:tblLook w:val="01E0" w:firstRow="1" w:lastRow="1" w:firstColumn="1" w:lastColumn="1" w:noHBand="0" w:noVBand="0"/>
      </w:tblPr>
      <w:tblGrid>
        <w:gridCol w:w="3079"/>
        <w:gridCol w:w="2310"/>
        <w:gridCol w:w="3485"/>
      </w:tblGrid>
      <w:tr w:rsidR="00CD459A" w:rsidRPr="00CD459A" w14:paraId="6C754237" w14:textId="77777777" w:rsidTr="003B74CE">
        <w:trPr>
          <w:trHeight w:hRule="exact" w:val="494"/>
        </w:trPr>
        <w:tc>
          <w:tcPr>
            <w:tcW w:w="3079" w:type="dxa"/>
            <w:tcBorders>
              <w:top w:val="single" w:sz="4" w:space="0" w:color="000000"/>
              <w:left w:val="single" w:sz="4" w:space="0" w:color="000000"/>
              <w:bottom w:val="single" w:sz="4" w:space="0" w:color="000000"/>
              <w:right w:val="single" w:sz="4" w:space="0" w:color="000000"/>
            </w:tcBorders>
            <w:shd w:val="clear" w:color="auto" w:fill="auto"/>
          </w:tcPr>
          <w:p w14:paraId="43E94B33"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14:paraId="67F6CAB4" w14:textId="77777777" w:rsidR="007C7EF4" w:rsidRPr="00CD459A" w:rsidRDefault="007C7EF4" w:rsidP="003B74CE">
            <w:pPr>
              <w:pStyle w:val="TableParagraph"/>
              <w:spacing w:before="81"/>
              <w:ind w:right="1369"/>
              <w:jc w:val="center"/>
              <w:rPr>
                <w:rFonts w:ascii="Verdana" w:hAnsi="Verdana" w:cs="Arial"/>
                <w:b/>
              </w:rPr>
            </w:pPr>
            <w:r w:rsidRPr="00CD459A">
              <w:rPr>
                <w:rFonts w:ascii="Verdana" w:hAnsi="Verdana" w:cs="Arial"/>
                <w:b/>
              </w:rPr>
              <w:t>GRUPO</w:t>
            </w: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01CB39CE" w14:textId="77777777" w:rsidR="007C7EF4" w:rsidRPr="00CD459A" w:rsidRDefault="007C7EF4" w:rsidP="003B74CE">
            <w:pPr>
              <w:pStyle w:val="TableParagraph"/>
              <w:spacing w:before="81"/>
              <w:ind w:right="1372"/>
              <w:jc w:val="center"/>
              <w:rPr>
                <w:rFonts w:ascii="Verdana" w:hAnsi="Verdana" w:cs="Arial"/>
                <w:b/>
              </w:rPr>
            </w:pPr>
            <w:r w:rsidRPr="00CD459A">
              <w:rPr>
                <w:rFonts w:ascii="Verdana" w:hAnsi="Verdana" w:cs="Arial"/>
                <w:b/>
              </w:rPr>
              <w:t>CUENTA</w:t>
            </w:r>
          </w:p>
        </w:tc>
      </w:tr>
      <w:tr w:rsidR="00CD459A" w:rsidRPr="00CD459A" w14:paraId="57C2E83E" w14:textId="77777777" w:rsidTr="003B74CE">
        <w:trPr>
          <w:trHeight w:hRule="exact" w:val="494"/>
        </w:trPr>
        <w:tc>
          <w:tcPr>
            <w:tcW w:w="3079" w:type="dxa"/>
            <w:tcBorders>
              <w:top w:val="single" w:sz="4" w:space="0" w:color="000000"/>
              <w:left w:val="single" w:sz="4" w:space="0" w:color="000000"/>
              <w:bottom w:val="single" w:sz="4" w:space="0" w:color="000000"/>
              <w:right w:val="single" w:sz="4" w:space="0" w:color="000000"/>
            </w:tcBorders>
            <w:shd w:val="clear" w:color="auto" w:fill="auto"/>
          </w:tcPr>
          <w:p w14:paraId="697A2287"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14:paraId="0D8B9134"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3E4E2A8B" w14:textId="77777777" w:rsidR="007C7EF4" w:rsidRPr="00CD459A" w:rsidRDefault="007C7EF4" w:rsidP="003B74CE">
            <w:pPr>
              <w:jc w:val="both"/>
              <w:rPr>
                <w:rFonts w:ascii="Verdana" w:hAnsi="Verdana" w:cs="Arial"/>
              </w:rPr>
            </w:pPr>
          </w:p>
        </w:tc>
      </w:tr>
      <w:tr w:rsidR="00CD459A" w:rsidRPr="00CD459A" w14:paraId="2F1522EE" w14:textId="77777777" w:rsidTr="003B74CE">
        <w:trPr>
          <w:trHeight w:hRule="exact" w:val="302"/>
        </w:trPr>
        <w:tc>
          <w:tcPr>
            <w:tcW w:w="3079" w:type="dxa"/>
            <w:tcBorders>
              <w:top w:val="single" w:sz="4" w:space="0" w:color="000000"/>
              <w:left w:val="single" w:sz="4" w:space="0" w:color="000000"/>
              <w:bottom w:val="single" w:sz="4" w:space="0" w:color="000000"/>
              <w:right w:val="single" w:sz="4" w:space="0" w:color="000000"/>
            </w:tcBorders>
            <w:shd w:val="clear" w:color="auto" w:fill="auto"/>
          </w:tcPr>
          <w:p w14:paraId="6B5472E1" w14:textId="77777777" w:rsidR="007C7EF4" w:rsidRPr="00CD459A" w:rsidRDefault="007C7EF4" w:rsidP="003B74CE">
            <w:pPr>
              <w:pStyle w:val="TableParagraph"/>
              <w:ind w:left="103" w:right="624"/>
              <w:jc w:val="both"/>
              <w:rPr>
                <w:rFonts w:ascii="Verdana" w:hAnsi="Verdana" w:cs="Arial"/>
              </w:rPr>
            </w:pPr>
            <w:bookmarkStart w:id="798" w:name="_bookmark10"/>
            <w:bookmarkEnd w:id="798"/>
            <w:r w:rsidRPr="00CD459A">
              <w:rPr>
                <w:rFonts w:ascii="Verdana" w:hAnsi="Verdana" w:cs="Arial"/>
              </w:rPr>
              <w:t>CUENTAS DE ORDEN ACREEDORAS</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14:paraId="21C81235" w14:textId="77777777" w:rsidR="007C7EF4" w:rsidRPr="00CD459A" w:rsidRDefault="007C7EF4" w:rsidP="003B74CE">
            <w:pPr>
              <w:jc w:val="both"/>
              <w:rPr>
                <w:rFonts w:ascii="Verdana" w:hAnsi="Verdana" w:cs="Arial"/>
              </w:rPr>
            </w:pPr>
          </w:p>
        </w:tc>
        <w:tc>
          <w:tcPr>
            <w:tcW w:w="3485" w:type="dxa"/>
            <w:tcBorders>
              <w:top w:val="single" w:sz="4" w:space="0" w:color="000000"/>
              <w:left w:val="single" w:sz="4" w:space="0" w:color="000000"/>
              <w:bottom w:val="single" w:sz="4" w:space="0" w:color="000000"/>
              <w:right w:val="single" w:sz="4" w:space="0" w:color="000000"/>
            </w:tcBorders>
            <w:shd w:val="clear" w:color="auto" w:fill="auto"/>
          </w:tcPr>
          <w:p w14:paraId="136F4776" w14:textId="77777777" w:rsidR="007C7EF4" w:rsidRPr="00CD459A" w:rsidRDefault="007C7EF4" w:rsidP="003B74CE">
            <w:pPr>
              <w:jc w:val="both"/>
              <w:rPr>
                <w:rFonts w:ascii="Verdana" w:hAnsi="Verdana" w:cs="Arial"/>
              </w:rPr>
            </w:pPr>
          </w:p>
        </w:tc>
      </w:tr>
    </w:tbl>
    <w:p w14:paraId="58E9CC9E" w14:textId="77777777" w:rsidR="007C7EF4" w:rsidRPr="00CD459A" w:rsidRDefault="007C7EF4" w:rsidP="007C7EF4">
      <w:pPr>
        <w:pStyle w:val="Prrafodelista"/>
        <w:spacing w:before="2"/>
        <w:jc w:val="both"/>
        <w:rPr>
          <w:rFonts w:ascii="Verdana" w:hAnsi="Verdana" w:cs="Arial"/>
        </w:rPr>
      </w:pPr>
    </w:p>
    <w:p w14:paraId="021C5223" w14:textId="06B60903" w:rsidR="007C7EF4" w:rsidRPr="00CD459A" w:rsidRDefault="007C7EF4" w:rsidP="007C7EF4">
      <w:pPr>
        <w:jc w:val="both"/>
        <w:rPr>
          <w:rFonts w:ascii="Verdana" w:hAnsi="Verdana" w:cs="Arial"/>
        </w:rPr>
      </w:pPr>
      <w:r w:rsidRPr="00CD459A">
        <w:rPr>
          <w:rFonts w:ascii="Verdana" w:hAnsi="Verdana" w:cs="Arial"/>
        </w:rPr>
        <w:t>DESCRIPCIÓN</w:t>
      </w:r>
    </w:p>
    <w:p w14:paraId="1387CB41" w14:textId="77777777" w:rsidR="007C7EF4" w:rsidRPr="00CD459A" w:rsidRDefault="007C7EF4" w:rsidP="007C7EF4">
      <w:pPr>
        <w:pStyle w:val="Textoindependiente"/>
        <w:ind w:right="195"/>
        <w:rPr>
          <w:rFonts w:ascii="Verdana" w:hAnsi="Verdana" w:cs="Arial"/>
          <w:sz w:val="22"/>
          <w:szCs w:val="22"/>
        </w:rPr>
      </w:pPr>
      <w:r w:rsidRPr="00CD459A">
        <w:rPr>
          <w:rFonts w:ascii="Verdana" w:hAnsi="Verdana" w:cs="Arial"/>
          <w:sz w:val="22"/>
          <w:szCs w:val="22"/>
        </w:rPr>
        <w:t>En esta denominación, se incluyen los grupos de cuentas para el registro de pasivos contingentes, cuentas de orden acreedoras fiscales y cuentas de orden acreedoras de control, así como para el registro de las correspondientes contrapartidas. Las cuentas que integran esta clase son de naturaleza</w:t>
      </w:r>
      <w:r w:rsidRPr="00CD459A">
        <w:rPr>
          <w:rFonts w:ascii="Verdana" w:hAnsi="Verdana" w:cs="Arial"/>
          <w:spacing w:val="-1"/>
          <w:sz w:val="22"/>
          <w:szCs w:val="22"/>
        </w:rPr>
        <w:t xml:space="preserve"> </w:t>
      </w:r>
      <w:r w:rsidRPr="00CD459A">
        <w:rPr>
          <w:rFonts w:ascii="Verdana" w:hAnsi="Verdana" w:cs="Arial"/>
          <w:sz w:val="22"/>
          <w:szCs w:val="22"/>
        </w:rPr>
        <w:t>crédito.</w:t>
      </w:r>
    </w:p>
    <w:p w14:paraId="5B8D3B7B" w14:textId="77777777" w:rsidR="007C7EF4" w:rsidRPr="00CD459A" w:rsidRDefault="007C7EF4" w:rsidP="007C7EF4">
      <w:pPr>
        <w:widowControl w:val="0"/>
        <w:autoSpaceDE w:val="0"/>
        <w:autoSpaceDN w:val="0"/>
        <w:adjustRightInd w:val="0"/>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114"/>
        <w:gridCol w:w="3685"/>
        <w:gridCol w:w="2080"/>
      </w:tblGrid>
      <w:tr w:rsidR="00CD459A" w:rsidRPr="00CD459A" w14:paraId="4755E0D0" w14:textId="77777777" w:rsidTr="003B74CE">
        <w:tc>
          <w:tcPr>
            <w:tcW w:w="3114" w:type="dxa"/>
          </w:tcPr>
          <w:p w14:paraId="542FB75F"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CLASE</w:t>
            </w:r>
          </w:p>
        </w:tc>
        <w:tc>
          <w:tcPr>
            <w:tcW w:w="3685" w:type="dxa"/>
          </w:tcPr>
          <w:p w14:paraId="459AA19C"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GRUPO</w:t>
            </w:r>
          </w:p>
        </w:tc>
        <w:tc>
          <w:tcPr>
            <w:tcW w:w="2080" w:type="dxa"/>
          </w:tcPr>
          <w:p w14:paraId="5836BF4D"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CUENTA</w:t>
            </w:r>
          </w:p>
        </w:tc>
      </w:tr>
      <w:tr w:rsidR="00CD459A" w:rsidRPr="00CD459A" w14:paraId="1E5D3B8E" w14:textId="77777777" w:rsidTr="003B74CE">
        <w:tc>
          <w:tcPr>
            <w:tcW w:w="3114" w:type="dxa"/>
          </w:tcPr>
          <w:p w14:paraId="449E5E5C"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9</w:t>
            </w:r>
          </w:p>
        </w:tc>
        <w:tc>
          <w:tcPr>
            <w:tcW w:w="3685" w:type="dxa"/>
          </w:tcPr>
          <w:p w14:paraId="0A96BE40"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93</w:t>
            </w:r>
          </w:p>
        </w:tc>
        <w:tc>
          <w:tcPr>
            <w:tcW w:w="2080" w:type="dxa"/>
          </w:tcPr>
          <w:p w14:paraId="540D5406"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7EF7C914" w14:textId="77777777" w:rsidTr="003B74CE">
        <w:tc>
          <w:tcPr>
            <w:tcW w:w="3114" w:type="dxa"/>
          </w:tcPr>
          <w:p w14:paraId="79C2741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DE ORDEN ACREEDORAS</w:t>
            </w:r>
          </w:p>
        </w:tc>
        <w:tc>
          <w:tcPr>
            <w:tcW w:w="3685" w:type="dxa"/>
          </w:tcPr>
          <w:p w14:paraId="33ECE828"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ACREEDORAS DE CONTROL</w:t>
            </w:r>
          </w:p>
        </w:tc>
        <w:tc>
          <w:tcPr>
            <w:tcW w:w="2080" w:type="dxa"/>
          </w:tcPr>
          <w:p w14:paraId="229310CA" w14:textId="77777777" w:rsidR="007C7EF4" w:rsidRPr="00CD459A" w:rsidRDefault="007C7EF4" w:rsidP="003B74CE">
            <w:pPr>
              <w:widowControl w:val="0"/>
              <w:autoSpaceDE w:val="0"/>
              <w:autoSpaceDN w:val="0"/>
              <w:adjustRightInd w:val="0"/>
              <w:jc w:val="both"/>
              <w:rPr>
                <w:rFonts w:ascii="Verdana" w:hAnsi="Verdana" w:cs="Arial"/>
              </w:rPr>
            </w:pPr>
          </w:p>
        </w:tc>
      </w:tr>
    </w:tbl>
    <w:p w14:paraId="02EA1136" w14:textId="77777777" w:rsidR="007C7EF4" w:rsidRPr="00CD459A" w:rsidRDefault="007C7EF4" w:rsidP="007C7EF4">
      <w:pPr>
        <w:widowControl w:val="0"/>
        <w:autoSpaceDE w:val="0"/>
        <w:autoSpaceDN w:val="0"/>
        <w:adjustRightInd w:val="0"/>
        <w:jc w:val="both"/>
        <w:rPr>
          <w:rFonts w:ascii="Verdana" w:hAnsi="Verdana" w:cs="Arial"/>
        </w:rPr>
      </w:pPr>
    </w:p>
    <w:p w14:paraId="4D2BD861" w14:textId="0D2605B8"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21BC09E6" w14:textId="39BE6CFE"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las cuentas que permiten controlar las operaciones que la entidad realiza con terceros y que, por su naturaleza, no afectan su situación financiera ni el rendimiento. También incluye las cuentas que permiten ejercer control administrativo sobre las obligaciones.</w:t>
      </w:r>
    </w:p>
    <w:p w14:paraId="03590362" w14:textId="596830D3" w:rsidR="007C7EF4" w:rsidRPr="00CD459A" w:rsidRDefault="007C7EF4" w:rsidP="00CD459A">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5266E14E" w14:textId="77777777" w:rsidTr="003B74CE">
        <w:trPr>
          <w:jc w:val="center"/>
        </w:trPr>
        <w:tc>
          <w:tcPr>
            <w:tcW w:w="4678" w:type="dxa"/>
            <w:tcBorders>
              <w:bottom w:val="single" w:sz="12" w:space="0" w:color="000000"/>
            </w:tcBorders>
            <w:shd w:val="solid" w:color="2F5395" w:fill="FFFFFF"/>
          </w:tcPr>
          <w:p w14:paraId="08E36E9E"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181756BA"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6E14ACD5"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4FDE4EF8"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1E884D92"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Grupo 93 – Acreedoras de Control </w:t>
            </w:r>
          </w:p>
        </w:tc>
      </w:tr>
    </w:tbl>
    <w:p w14:paraId="2A375C92"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418A13EF" w14:textId="438AAA92"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692B9BB4"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4901271A" w14:textId="77777777" w:rsidR="007C7EF4" w:rsidRPr="00CD459A" w:rsidRDefault="007C7EF4" w:rsidP="007C7EF4">
      <w:pPr>
        <w:jc w:val="both"/>
        <w:rPr>
          <w:rFonts w:ascii="Verdana" w:hAnsi="Verdana" w:cs="Arial"/>
          <w:lang w:val="es-ES_tradnl"/>
        </w:rPr>
      </w:pP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76F25BEE" w14:textId="77777777" w:rsidTr="003B74CE">
        <w:trPr>
          <w:jc w:val="center"/>
        </w:trPr>
        <w:tc>
          <w:tcPr>
            <w:tcW w:w="3317" w:type="dxa"/>
            <w:tcBorders>
              <w:bottom w:val="single" w:sz="12" w:space="0" w:color="000000"/>
            </w:tcBorders>
            <w:shd w:val="solid" w:color="2F5395" w:fill="FFFFFF"/>
          </w:tcPr>
          <w:p w14:paraId="4C45DAB3"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3" w:type="dxa"/>
            <w:tcBorders>
              <w:bottom w:val="single" w:sz="12" w:space="0" w:color="000000"/>
            </w:tcBorders>
            <w:shd w:val="solid" w:color="2F5395" w:fill="FFFFFF"/>
          </w:tcPr>
          <w:p w14:paraId="2EE3DF18"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45AB1A0C"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4ABDACDA"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Departamento Nacional de Planeación  </w:t>
            </w:r>
          </w:p>
        </w:tc>
        <w:tc>
          <w:tcPr>
            <w:tcW w:w="5523" w:type="dxa"/>
            <w:tcBorders>
              <w:top w:val="single" w:sz="12" w:space="0" w:color="000000"/>
              <w:bottom w:val="single" w:sz="12" w:space="0" w:color="000000"/>
            </w:tcBorders>
            <w:shd w:val="pct20" w:color="FFFFFF" w:fill="FFFFFF"/>
            <w:vAlign w:val="center"/>
          </w:tcPr>
          <w:p w14:paraId="699CF68B"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Generar y Cargar en el SPGR, las Instrucciones de Abono en Cuenta, redistribuciones y demás distribuciones a las que haya lugar.</w:t>
            </w:r>
          </w:p>
        </w:tc>
      </w:tr>
      <w:tr w:rsidR="00CD459A" w:rsidRPr="00CD459A" w14:paraId="55A9EF6F"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5013193F"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3" w:type="dxa"/>
            <w:tcBorders>
              <w:top w:val="single" w:sz="12" w:space="0" w:color="000000"/>
              <w:bottom w:val="single" w:sz="12" w:space="0" w:color="000000"/>
            </w:tcBorders>
            <w:shd w:val="pct20" w:color="FFFFFF" w:fill="FFFFFF"/>
            <w:vAlign w:val="center"/>
          </w:tcPr>
          <w:p w14:paraId="07BC6C64"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 xml:space="preserve">Conciliar y depurar las partidas de las cuentas Acreedoras de Control. </w:t>
            </w:r>
          </w:p>
          <w:p w14:paraId="6296FE62"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del DNP para realizar el registro, medición y revelación contable correspondiente.</w:t>
            </w:r>
          </w:p>
        </w:tc>
      </w:tr>
    </w:tbl>
    <w:p w14:paraId="73535C7F"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tbl>
      <w:tblPr>
        <w:tblW w:w="8707" w:type="dxa"/>
        <w:tblInd w:w="-5" w:type="dxa"/>
        <w:tblLayout w:type="fixed"/>
        <w:tblCellMar>
          <w:left w:w="0" w:type="dxa"/>
          <w:right w:w="0" w:type="dxa"/>
        </w:tblCellMar>
        <w:tblLook w:val="01E0" w:firstRow="1" w:lastRow="1" w:firstColumn="1" w:lastColumn="1" w:noHBand="0" w:noVBand="0"/>
      </w:tblPr>
      <w:tblGrid>
        <w:gridCol w:w="2268"/>
        <w:gridCol w:w="2977"/>
        <w:gridCol w:w="3462"/>
      </w:tblGrid>
      <w:tr w:rsidR="00CD459A" w:rsidRPr="00CD459A" w14:paraId="1F4B5BFA" w14:textId="77777777" w:rsidTr="003B74CE">
        <w:trPr>
          <w:trHeight w:hRule="exact" w:val="406"/>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601078E8"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72FB5763" w14:textId="77777777" w:rsidR="007C7EF4" w:rsidRPr="00CD459A" w:rsidRDefault="007C7EF4" w:rsidP="003B74CE">
            <w:pPr>
              <w:pStyle w:val="TableParagraph"/>
              <w:spacing w:before="81"/>
              <w:ind w:left="670" w:right="719"/>
              <w:jc w:val="center"/>
              <w:rPr>
                <w:rFonts w:ascii="Verdana" w:hAnsi="Verdana" w:cs="Arial"/>
              </w:rPr>
            </w:pP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F545B84"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462" w:type="dxa"/>
            <w:tcBorders>
              <w:top w:val="single" w:sz="4" w:space="0" w:color="000000"/>
              <w:left w:val="single" w:sz="4" w:space="0" w:color="000000"/>
              <w:bottom w:val="single" w:sz="4" w:space="0" w:color="000000"/>
              <w:right w:val="single" w:sz="4" w:space="0" w:color="000000"/>
            </w:tcBorders>
            <w:shd w:val="clear" w:color="auto" w:fill="auto"/>
          </w:tcPr>
          <w:p w14:paraId="524795D1"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14BB9E9F" w14:textId="77777777" w:rsidTr="003B74CE">
        <w:trPr>
          <w:trHeight w:hRule="exact" w:val="405"/>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91452A0"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BB27E93"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462" w:type="dxa"/>
            <w:tcBorders>
              <w:top w:val="single" w:sz="4" w:space="0" w:color="000000"/>
              <w:left w:val="single" w:sz="4" w:space="0" w:color="000000"/>
              <w:bottom w:val="single" w:sz="4" w:space="0" w:color="000000"/>
              <w:right w:val="single" w:sz="4" w:space="0" w:color="000000"/>
            </w:tcBorders>
            <w:shd w:val="clear" w:color="auto" w:fill="auto"/>
          </w:tcPr>
          <w:p w14:paraId="59AE7497"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937001</w:t>
            </w:r>
          </w:p>
        </w:tc>
      </w:tr>
      <w:tr w:rsidR="00CD459A" w:rsidRPr="00CD459A" w14:paraId="62F9A4A6" w14:textId="77777777" w:rsidTr="003B74CE">
        <w:trPr>
          <w:trHeight w:hRule="exact" w:val="847"/>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CC10476"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3D526BE"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462" w:type="dxa"/>
            <w:tcBorders>
              <w:top w:val="single" w:sz="4" w:space="0" w:color="000000"/>
              <w:left w:val="single" w:sz="4" w:space="0" w:color="000000"/>
              <w:bottom w:val="single" w:sz="4" w:space="0" w:color="000000"/>
              <w:right w:val="single" w:sz="4" w:space="0" w:color="000000"/>
            </w:tcBorders>
            <w:shd w:val="clear" w:color="auto" w:fill="auto"/>
          </w:tcPr>
          <w:p w14:paraId="733C14DF" w14:textId="77777777" w:rsidR="007C7EF4" w:rsidRPr="00CD459A" w:rsidRDefault="007C7EF4" w:rsidP="003B74CE">
            <w:pPr>
              <w:pStyle w:val="TableParagraph"/>
              <w:spacing w:before="80"/>
              <w:ind w:left="100" w:right="254"/>
              <w:jc w:val="both"/>
              <w:rPr>
                <w:rFonts w:ascii="Verdana" w:hAnsi="Verdana" w:cs="Arial"/>
              </w:rPr>
            </w:pPr>
            <w:r w:rsidRPr="00CD459A">
              <w:rPr>
                <w:rFonts w:ascii="Verdana" w:hAnsi="Verdana" w:cs="Arial"/>
                <w:b/>
              </w:rPr>
              <w:t xml:space="preserve">ASIGNACIONES DIRECTAS </w:t>
            </w:r>
          </w:p>
        </w:tc>
      </w:tr>
    </w:tbl>
    <w:p w14:paraId="1E2E550A" w14:textId="77777777" w:rsidR="007C7EF4" w:rsidRPr="00CD459A" w:rsidRDefault="007C7EF4" w:rsidP="007C7EF4">
      <w:pPr>
        <w:widowControl w:val="0"/>
        <w:autoSpaceDE w:val="0"/>
        <w:autoSpaceDN w:val="0"/>
        <w:adjustRightInd w:val="0"/>
        <w:jc w:val="both"/>
        <w:rPr>
          <w:rFonts w:ascii="Verdana" w:hAnsi="Verdana" w:cs="Arial"/>
        </w:rPr>
      </w:pPr>
    </w:p>
    <w:p w14:paraId="5FCA46DD" w14:textId="4D1541D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6E0D7D0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asignaciones directas que no posee los elementos necesarios (Valor, tercero y concepto de distribución), para ser causados en cuentas patrimoniales.</w:t>
      </w:r>
    </w:p>
    <w:p w14:paraId="168343BA" w14:textId="77777777" w:rsidR="007C7EF4" w:rsidRPr="00CD459A" w:rsidRDefault="007C7EF4" w:rsidP="007C7EF4">
      <w:pPr>
        <w:suppressLineNumbers/>
        <w:tabs>
          <w:tab w:val="left" w:pos="-720"/>
        </w:tabs>
        <w:jc w:val="both"/>
        <w:rPr>
          <w:rFonts w:ascii="Verdana" w:hAnsi="Verdana" w:cs="Arial"/>
        </w:rPr>
      </w:pPr>
    </w:p>
    <w:p w14:paraId="11D11846" w14:textId="325DA1CF"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1D9CFDB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acusación de esta subcuenta se realiza por el valor que el Departamento Nacional de Planeación distribuye para Asignaciones Directas y las desafectaciones por el valor de la redistribución para asignaciones directas.</w:t>
      </w:r>
    </w:p>
    <w:p w14:paraId="2ABEFA01" w14:textId="77777777" w:rsidR="007C7EF4" w:rsidRPr="00CD459A" w:rsidRDefault="007C7EF4" w:rsidP="007C7EF4">
      <w:pPr>
        <w:suppressLineNumbers/>
        <w:tabs>
          <w:tab w:val="left" w:pos="-720"/>
        </w:tabs>
        <w:ind w:left="284" w:hanging="284"/>
        <w:jc w:val="both"/>
        <w:rPr>
          <w:rFonts w:ascii="Verdana" w:hAnsi="Verdana" w:cs="Arial"/>
        </w:rPr>
      </w:pPr>
    </w:p>
    <w:p w14:paraId="6C4A2080" w14:textId="5924EA7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72CDACD5"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Instrucción Abono en Cuenta Emitida por el Departamento Nacional de Planeación. </w:t>
      </w:r>
    </w:p>
    <w:p w14:paraId="576C5B97" w14:textId="77777777" w:rsidR="007C7EF4" w:rsidRPr="00CD459A" w:rsidRDefault="007C7EF4" w:rsidP="007C7EF4">
      <w:pPr>
        <w:suppressLineNumbers/>
        <w:tabs>
          <w:tab w:val="left" w:pos="-720"/>
        </w:tabs>
        <w:ind w:left="284" w:hanging="284"/>
        <w:jc w:val="both"/>
        <w:rPr>
          <w:rFonts w:ascii="Verdana" w:hAnsi="Verdana" w:cs="Arial"/>
        </w:rPr>
      </w:pPr>
    </w:p>
    <w:p w14:paraId="4796933A" w14:textId="31D87C4A"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769AF31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frente a los valores distribuidos por el DNP, por concepto de asignaciones directas, menos las redistribuciones por asignaciones directas.  </w:t>
      </w:r>
    </w:p>
    <w:p w14:paraId="316D4740" w14:textId="77777777" w:rsidR="007C7EF4" w:rsidRPr="00CD459A" w:rsidRDefault="007C7EF4" w:rsidP="007C7EF4">
      <w:pPr>
        <w:suppressLineNumbers/>
        <w:tabs>
          <w:tab w:val="left" w:pos="-720"/>
        </w:tabs>
        <w:ind w:left="284" w:hanging="284"/>
        <w:jc w:val="both"/>
        <w:rPr>
          <w:rFonts w:ascii="Verdana" w:hAnsi="Verdana" w:cs="Arial"/>
        </w:rPr>
      </w:pPr>
    </w:p>
    <w:p w14:paraId="3807C023" w14:textId="2114B109"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1C62D69C"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cuenta se revela el valor de las distribuciones y el valor de las redistribuciones. </w:t>
      </w:r>
    </w:p>
    <w:p w14:paraId="16CFD4A0" w14:textId="77777777" w:rsidR="007C7EF4" w:rsidRPr="00CD459A" w:rsidRDefault="007C7EF4" w:rsidP="007C7EF4">
      <w:pPr>
        <w:suppressLineNumbers/>
        <w:tabs>
          <w:tab w:val="left" w:pos="-720"/>
        </w:tabs>
        <w:ind w:left="284" w:hanging="284"/>
        <w:jc w:val="both"/>
        <w:rPr>
          <w:rFonts w:ascii="Verdana" w:hAnsi="Verdana" w:cs="Arial"/>
        </w:rPr>
      </w:pPr>
    </w:p>
    <w:p w14:paraId="3E1CA93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C944119" w14:textId="77777777" w:rsidR="007C7EF4" w:rsidRPr="00CD459A" w:rsidRDefault="007C7EF4" w:rsidP="007C7EF4">
      <w:pPr>
        <w:suppressLineNumbers/>
        <w:tabs>
          <w:tab w:val="left" w:pos="-720"/>
        </w:tabs>
        <w:ind w:left="284" w:hanging="284"/>
        <w:jc w:val="both"/>
        <w:rPr>
          <w:rFonts w:ascii="Verdana" w:hAnsi="Verdana" w:cs="Arial"/>
        </w:rPr>
      </w:pPr>
    </w:p>
    <w:p w14:paraId="2007ECFA" w14:textId="5AB9B2FE"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DEBITA CON:</w:t>
      </w:r>
    </w:p>
    <w:p w14:paraId="6B1AE9F7" w14:textId="77777777" w:rsidR="007C7EF4" w:rsidRDefault="007C7EF4" w:rsidP="00AB3D96">
      <w:pPr>
        <w:pStyle w:val="Prrafodelista"/>
        <w:numPr>
          <w:ilvl w:val="0"/>
          <w:numId w:val="79"/>
        </w:numPr>
        <w:suppressLineNumbers/>
        <w:tabs>
          <w:tab w:val="left" w:pos="-720"/>
        </w:tabs>
        <w:spacing w:line="240" w:lineRule="auto"/>
        <w:jc w:val="both"/>
        <w:rPr>
          <w:rFonts w:ascii="Verdana" w:hAnsi="Verdana" w:cs="Arial"/>
        </w:rPr>
      </w:pPr>
      <w:r w:rsidRPr="00CD459A">
        <w:rPr>
          <w:rFonts w:ascii="Verdana" w:hAnsi="Verdana" w:cs="Arial"/>
        </w:rPr>
        <w:t>El valor de las redistribuciones por concepto de asignaciones directas con crédito a la subcuenta 991590 - Otras cuentas acreedoras de control.</w:t>
      </w:r>
    </w:p>
    <w:p w14:paraId="46CDA82D" w14:textId="77777777" w:rsidR="00CD459A" w:rsidRPr="00CD459A" w:rsidRDefault="00CD459A" w:rsidP="00CD459A">
      <w:pPr>
        <w:pStyle w:val="Prrafodelista"/>
        <w:suppressLineNumbers/>
        <w:tabs>
          <w:tab w:val="left" w:pos="-720"/>
        </w:tabs>
        <w:spacing w:line="240" w:lineRule="auto"/>
        <w:jc w:val="both"/>
        <w:rPr>
          <w:rFonts w:ascii="Verdana" w:hAnsi="Verdana" w:cs="Arial"/>
        </w:rPr>
      </w:pPr>
    </w:p>
    <w:p w14:paraId="3427BF44" w14:textId="599D3CE8"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ACREDITA CON:</w:t>
      </w:r>
    </w:p>
    <w:p w14:paraId="73E154E4" w14:textId="77777777" w:rsidR="007C7EF4" w:rsidRPr="00CD459A" w:rsidRDefault="007C7EF4" w:rsidP="00AB3D96">
      <w:pPr>
        <w:pStyle w:val="Prrafodelista"/>
        <w:widowControl w:val="0"/>
        <w:numPr>
          <w:ilvl w:val="0"/>
          <w:numId w:val="79"/>
        </w:numPr>
        <w:autoSpaceDE w:val="0"/>
        <w:autoSpaceDN w:val="0"/>
        <w:adjustRightInd w:val="0"/>
        <w:spacing w:line="240" w:lineRule="auto"/>
        <w:jc w:val="both"/>
        <w:rPr>
          <w:rFonts w:ascii="Verdana" w:hAnsi="Verdana" w:cs="Arial"/>
        </w:rPr>
      </w:pPr>
      <w:r w:rsidRPr="00CD459A">
        <w:rPr>
          <w:rFonts w:ascii="Verdana" w:hAnsi="Verdana" w:cs="Arial"/>
        </w:rPr>
        <w:t>El valor distribuido por el DNP que no posee los elementos necesarios (Valor, tercero y concepto de distribución).</w:t>
      </w: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58767C7E"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682A0B9"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7C5C9047"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0617E10B"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5D21102D"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1F2EAAE3"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492C810"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1E11E2EF"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2F3BAB7D"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937002</w:t>
            </w:r>
          </w:p>
        </w:tc>
      </w:tr>
      <w:tr w:rsidR="00CD459A" w:rsidRPr="00CD459A" w14:paraId="4B720DD3" w14:textId="77777777" w:rsidTr="003B74CE">
        <w:trPr>
          <w:trHeight w:hRule="exact" w:val="847"/>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C5E7D16"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FF19ECB"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63659781" w14:textId="77777777" w:rsidR="007C7EF4" w:rsidRPr="00CD459A" w:rsidRDefault="007C7EF4" w:rsidP="003B74CE">
            <w:pPr>
              <w:pStyle w:val="TableParagraph"/>
              <w:spacing w:before="80"/>
              <w:ind w:left="100" w:right="254"/>
              <w:jc w:val="both"/>
              <w:rPr>
                <w:rFonts w:ascii="Verdana" w:hAnsi="Verdana" w:cs="Arial"/>
                <w:lang w:val="es-CO"/>
              </w:rPr>
            </w:pPr>
            <w:r w:rsidRPr="00CD459A">
              <w:rPr>
                <w:rFonts w:ascii="Verdana" w:hAnsi="Verdana" w:cs="Arial"/>
                <w:b/>
                <w:lang w:val="es-CO"/>
              </w:rPr>
              <w:t>FONDO DE AHORRO Y ESTABILIZACION (FAE)</w:t>
            </w:r>
          </w:p>
        </w:tc>
      </w:tr>
    </w:tbl>
    <w:p w14:paraId="718928F2" w14:textId="77777777" w:rsidR="007C7EF4" w:rsidRPr="00CD459A" w:rsidRDefault="007C7EF4" w:rsidP="007C7EF4">
      <w:pPr>
        <w:widowControl w:val="0"/>
        <w:autoSpaceDE w:val="0"/>
        <w:autoSpaceDN w:val="0"/>
        <w:adjustRightInd w:val="0"/>
        <w:jc w:val="both"/>
        <w:rPr>
          <w:rFonts w:ascii="Verdana" w:hAnsi="Verdana" w:cs="Arial"/>
        </w:rPr>
      </w:pPr>
    </w:p>
    <w:p w14:paraId="0BBD4745" w14:textId="5C44E1F4"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7763EBF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Representa el valor distribuido no girado para el Fondo de Ahorro y Estabilización - FAE.</w:t>
      </w:r>
    </w:p>
    <w:p w14:paraId="4F5F8080" w14:textId="77777777" w:rsidR="007C7EF4" w:rsidRPr="00CD459A" w:rsidRDefault="007C7EF4" w:rsidP="007C7EF4">
      <w:pPr>
        <w:suppressLineNumbers/>
        <w:tabs>
          <w:tab w:val="left" w:pos="-720"/>
        </w:tabs>
        <w:ind w:left="284" w:hanging="284"/>
        <w:jc w:val="both"/>
        <w:rPr>
          <w:rFonts w:ascii="Verdana" w:hAnsi="Verdana" w:cs="Arial"/>
        </w:rPr>
      </w:pPr>
    </w:p>
    <w:p w14:paraId="09AA8BD1" w14:textId="13D48D7E"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6EC2876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acusación de esta subcuenta se realiza por el valor que el Departamento Nacional de Planeación distribuye para el Fondo de Ahorro y Estabilización – FAE y las desafectaciones por el valor en pesos girado al Fondo de Ahorro y Estabilización – FAE.</w:t>
      </w:r>
    </w:p>
    <w:p w14:paraId="6F281885" w14:textId="77777777" w:rsidR="007C7EF4" w:rsidRPr="00CD459A" w:rsidRDefault="007C7EF4" w:rsidP="007C7EF4">
      <w:pPr>
        <w:suppressLineNumbers/>
        <w:tabs>
          <w:tab w:val="left" w:pos="-720"/>
        </w:tabs>
        <w:ind w:left="284" w:hanging="284"/>
        <w:jc w:val="both"/>
        <w:rPr>
          <w:rFonts w:ascii="Verdana" w:hAnsi="Verdana" w:cs="Arial"/>
        </w:rPr>
      </w:pPr>
    </w:p>
    <w:p w14:paraId="1E76527B" w14:textId="720ED65C"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3C4700D7"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Instrucción Abono en Cuenta Emitida por el Departamento Nacional de Planeación. </w:t>
      </w:r>
    </w:p>
    <w:p w14:paraId="0AF80EE0" w14:textId="77777777" w:rsidR="007C7EF4" w:rsidRPr="00CD459A" w:rsidRDefault="007C7EF4" w:rsidP="007C7EF4">
      <w:pPr>
        <w:suppressLineNumbers/>
        <w:tabs>
          <w:tab w:val="left" w:pos="-720"/>
        </w:tabs>
        <w:ind w:left="284" w:hanging="284"/>
        <w:jc w:val="both"/>
        <w:rPr>
          <w:rFonts w:ascii="Verdana" w:hAnsi="Verdana" w:cs="Arial"/>
        </w:rPr>
      </w:pPr>
    </w:p>
    <w:p w14:paraId="695F67E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0C21585E" w14:textId="77777777" w:rsidR="007C7EF4" w:rsidRPr="00CD459A" w:rsidRDefault="007C7EF4" w:rsidP="007C7EF4">
      <w:pPr>
        <w:suppressLineNumbers/>
        <w:tabs>
          <w:tab w:val="left" w:pos="-720"/>
        </w:tabs>
        <w:ind w:left="284" w:hanging="284"/>
        <w:jc w:val="both"/>
        <w:rPr>
          <w:rFonts w:ascii="Verdana" w:hAnsi="Verdana" w:cs="Arial"/>
        </w:rPr>
      </w:pPr>
    </w:p>
    <w:p w14:paraId="3B90D524" w14:textId="046000E4"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3E4D930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cuenta se revela el valor que corresponde a vigencia anterior, y de la vigencia actual se detalla el valor de las distribuciones y el valor de los giros.</w:t>
      </w:r>
    </w:p>
    <w:p w14:paraId="410E624A" w14:textId="77777777" w:rsidR="007C7EF4" w:rsidRPr="00CD459A" w:rsidRDefault="007C7EF4" w:rsidP="007C7EF4">
      <w:pPr>
        <w:suppressLineNumbers/>
        <w:tabs>
          <w:tab w:val="left" w:pos="-720"/>
        </w:tabs>
        <w:ind w:left="284" w:hanging="284"/>
        <w:jc w:val="both"/>
        <w:rPr>
          <w:rFonts w:ascii="Verdana" w:hAnsi="Verdana" w:cs="Arial"/>
        </w:rPr>
      </w:pPr>
    </w:p>
    <w:p w14:paraId="5FDD7631"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E0C1050" w14:textId="77777777" w:rsidR="007C7EF4" w:rsidRPr="00CD459A" w:rsidRDefault="007C7EF4" w:rsidP="007C7EF4">
      <w:pPr>
        <w:suppressLineNumbers/>
        <w:tabs>
          <w:tab w:val="left" w:pos="-720"/>
        </w:tabs>
        <w:ind w:left="284" w:hanging="284"/>
        <w:jc w:val="both"/>
        <w:rPr>
          <w:rFonts w:ascii="Verdana" w:hAnsi="Verdana" w:cs="Arial"/>
        </w:rPr>
      </w:pPr>
    </w:p>
    <w:p w14:paraId="44AEA1A8" w14:textId="34538D49"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DEBITA CON:</w:t>
      </w:r>
    </w:p>
    <w:p w14:paraId="7A7C7BA0" w14:textId="77777777" w:rsidR="007C7EF4" w:rsidRPr="00CD459A" w:rsidRDefault="007C7EF4" w:rsidP="00AB3D96">
      <w:pPr>
        <w:pStyle w:val="Prrafodelista"/>
        <w:numPr>
          <w:ilvl w:val="0"/>
          <w:numId w:val="79"/>
        </w:numPr>
        <w:suppressLineNumbers/>
        <w:tabs>
          <w:tab w:val="left" w:pos="-720"/>
        </w:tabs>
        <w:spacing w:line="240" w:lineRule="auto"/>
        <w:jc w:val="both"/>
        <w:rPr>
          <w:rFonts w:ascii="Verdana" w:hAnsi="Verdana" w:cs="Arial"/>
        </w:rPr>
      </w:pPr>
      <w:r w:rsidRPr="00CD459A">
        <w:rPr>
          <w:rFonts w:ascii="Verdana" w:hAnsi="Verdana" w:cs="Arial"/>
        </w:rPr>
        <w:t>El valor de los giros realizados para el Fondo de Ahorro y Estabilización – FAE, con crédito a la subcuenta 991590 - Otras cuentas acreedoras de control.</w:t>
      </w:r>
    </w:p>
    <w:p w14:paraId="149FA1EA" w14:textId="77777777" w:rsidR="007C7EF4" w:rsidRPr="00CD459A" w:rsidRDefault="007C7EF4" w:rsidP="007C7EF4">
      <w:pPr>
        <w:suppressLineNumbers/>
        <w:tabs>
          <w:tab w:val="left" w:pos="-720"/>
        </w:tabs>
        <w:ind w:left="284" w:hanging="284"/>
        <w:jc w:val="both"/>
        <w:rPr>
          <w:rFonts w:ascii="Verdana" w:hAnsi="Verdana" w:cs="Arial"/>
        </w:rPr>
      </w:pPr>
    </w:p>
    <w:p w14:paraId="3BA490A7" w14:textId="5738AD0C"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ACREDITA CON:</w:t>
      </w:r>
    </w:p>
    <w:p w14:paraId="334E262B" w14:textId="77777777" w:rsidR="007C7EF4" w:rsidRPr="00CD459A" w:rsidRDefault="007C7EF4" w:rsidP="00AB3D96">
      <w:pPr>
        <w:pStyle w:val="Prrafodelista"/>
        <w:numPr>
          <w:ilvl w:val="0"/>
          <w:numId w:val="80"/>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el Fondo de Ahorro y Estabilización – FAE, con debito a la subcuenta 991534 - Regalías distribuidas pendientes de asignar.</w:t>
      </w:r>
    </w:p>
    <w:p w14:paraId="581B0EBF" w14:textId="77777777" w:rsidR="007C7EF4" w:rsidRPr="00CD459A" w:rsidRDefault="007C7EF4" w:rsidP="007C7EF4">
      <w:pPr>
        <w:jc w:val="both"/>
        <w:rPr>
          <w:rFonts w:ascii="Verdana" w:hAnsi="Verdana" w:cs="Arial"/>
        </w:rPr>
      </w:pP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2839CFA1"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1118809"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389C8229"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673A1DE8"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3B9A4445"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39429B4F"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CDF0EAE"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4431615"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3CB2FA8C"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937003</w:t>
            </w:r>
          </w:p>
        </w:tc>
      </w:tr>
      <w:tr w:rsidR="00CD459A" w:rsidRPr="00CD459A" w14:paraId="39308BBF" w14:textId="77777777" w:rsidTr="003B74CE">
        <w:trPr>
          <w:trHeight w:hRule="exact" w:val="1263"/>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B4D065B"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64F9B709"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5AEFB646" w14:textId="77777777" w:rsidR="007C7EF4" w:rsidRPr="00CD459A" w:rsidRDefault="007C7EF4" w:rsidP="003B74CE">
            <w:pPr>
              <w:pStyle w:val="TableParagraph"/>
              <w:spacing w:before="80"/>
              <w:ind w:left="100" w:right="254"/>
              <w:jc w:val="both"/>
              <w:rPr>
                <w:rFonts w:ascii="Verdana" w:hAnsi="Verdana" w:cs="Arial"/>
                <w:lang w:val="es-CO"/>
              </w:rPr>
            </w:pPr>
            <w:r w:rsidRPr="00CD459A">
              <w:rPr>
                <w:rFonts w:ascii="Verdana" w:hAnsi="Verdana" w:cs="Arial"/>
                <w:b/>
                <w:lang w:val="es-CO"/>
              </w:rPr>
              <w:t xml:space="preserve">FONDO DE DESARROLLO REGIONAL PARA COMPENSAR ASIGNACIONES DIRECTAS </w:t>
            </w:r>
          </w:p>
        </w:tc>
      </w:tr>
    </w:tbl>
    <w:p w14:paraId="166E02F1" w14:textId="77777777" w:rsidR="007C7EF4" w:rsidRPr="00CD459A" w:rsidRDefault="007C7EF4" w:rsidP="007C7EF4">
      <w:pPr>
        <w:jc w:val="both"/>
        <w:rPr>
          <w:rFonts w:ascii="Verdana" w:hAnsi="Verdana" w:cs="Arial"/>
        </w:rPr>
      </w:pPr>
    </w:p>
    <w:p w14:paraId="110A6AC8" w14:textId="078367FB"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57AF31B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el Fondo de Desarrollo Regional – Compensación de Asignaciones Directas que no ha sido redistribuido para los terceros beneficiarios de asignaciones directas.</w:t>
      </w:r>
    </w:p>
    <w:p w14:paraId="771399D0" w14:textId="77777777" w:rsidR="007C7EF4" w:rsidRPr="00CD459A" w:rsidRDefault="007C7EF4" w:rsidP="007C7EF4">
      <w:pPr>
        <w:suppressLineNumbers/>
        <w:tabs>
          <w:tab w:val="left" w:pos="-720"/>
        </w:tabs>
        <w:ind w:left="284" w:hanging="284"/>
        <w:jc w:val="both"/>
        <w:rPr>
          <w:rFonts w:ascii="Verdana" w:hAnsi="Verdana" w:cs="Arial"/>
        </w:rPr>
      </w:pPr>
    </w:p>
    <w:p w14:paraId="24F8BC13" w14:textId="1BD64E37" w:rsidR="007C7EF4" w:rsidRPr="00CD459A" w:rsidRDefault="007C7EF4" w:rsidP="007C7EF4">
      <w:pPr>
        <w:suppressLineNumbers/>
        <w:tabs>
          <w:tab w:val="left" w:pos="-720"/>
          <w:tab w:val="left" w:pos="2842"/>
        </w:tabs>
        <w:ind w:left="284" w:hanging="284"/>
        <w:jc w:val="both"/>
        <w:rPr>
          <w:rFonts w:ascii="Verdana" w:hAnsi="Verdana" w:cs="Arial"/>
        </w:rPr>
      </w:pPr>
      <w:r w:rsidRPr="00CD459A">
        <w:rPr>
          <w:rFonts w:ascii="Verdana" w:hAnsi="Verdana" w:cs="Arial"/>
        </w:rPr>
        <w:t>MEDICIÓN</w:t>
      </w:r>
      <w:r w:rsidRPr="00CD459A">
        <w:rPr>
          <w:rFonts w:ascii="Verdana" w:hAnsi="Verdana" w:cs="Arial"/>
        </w:rPr>
        <w:tab/>
      </w:r>
    </w:p>
    <w:p w14:paraId="7553E80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acusación de esta subcuenta se realiza por el valor que el Departamento Nacional de Planeación distribuye para el Fondo de Desarrollo Regional – Compensación de Asignaciones Directas y las desafectaciones por el valor redistribuido a los beneficiarios de asignaciones directas.</w:t>
      </w:r>
    </w:p>
    <w:p w14:paraId="2EF997E2" w14:textId="77777777" w:rsidR="007C7EF4" w:rsidRPr="00CD459A" w:rsidRDefault="007C7EF4" w:rsidP="007C7EF4">
      <w:pPr>
        <w:suppressLineNumbers/>
        <w:tabs>
          <w:tab w:val="left" w:pos="-720"/>
        </w:tabs>
        <w:ind w:left="284" w:hanging="284"/>
        <w:jc w:val="both"/>
        <w:rPr>
          <w:rFonts w:ascii="Verdana" w:hAnsi="Verdana" w:cs="Arial"/>
        </w:rPr>
      </w:pPr>
    </w:p>
    <w:p w14:paraId="371F97BF" w14:textId="54B76CD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520D3AE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Instrucción Abono en Cuenta Emitida por el Departamento Nacional de Planeación. </w:t>
      </w:r>
    </w:p>
    <w:p w14:paraId="60997274" w14:textId="77777777" w:rsidR="007C7EF4" w:rsidRPr="00CD459A" w:rsidRDefault="007C7EF4" w:rsidP="007C7EF4">
      <w:pPr>
        <w:suppressLineNumbers/>
        <w:tabs>
          <w:tab w:val="left" w:pos="-720"/>
        </w:tabs>
        <w:ind w:left="284" w:hanging="284"/>
        <w:jc w:val="both"/>
        <w:rPr>
          <w:rFonts w:ascii="Verdana" w:hAnsi="Verdana" w:cs="Arial"/>
        </w:rPr>
      </w:pPr>
    </w:p>
    <w:p w14:paraId="23494C33" w14:textId="4ED822AF"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4DFD0D7A"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frente a los valores distribuidos por el DNP, por concepto de asignaciones directas, fondo de compensación regional para compensar asignaciones directas, y los descuentos FDR bolsa compensaciones asignaciones directas, menos las redistribuciones por asignaciones directas.  </w:t>
      </w:r>
    </w:p>
    <w:p w14:paraId="7FFAF010" w14:textId="77777777" w:rsidR="007C7EF4" w:rsidRPr="00CD459A" w:rsidRDefault="007C7EF4" w:rsidP="007C7EF4">
      <w:pPr>
        <w:suppressLineNumbers/>
        <w:tabs>
          <w:tab w:val="left" w:pos="-720"/>
        </w:tabs>
        <w:ind w:left="284" w:hanging="284"/>
        <w:jc w:val="both"/>
        <w:rPr>
          <w:rFonts w:ascii="Verdana" w:hAnsi="Verdana" w:cs="Arial"/>
        </w:rPr>
      </w:pPr>
    </w:p>
    <w:p w14:paraId="04EC4CA4" w14:textId="7CD33D0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7844D3D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De esta cuenta se revela el valor que corresponde a vigencia anterior, y de la vigencia actual se detalla el valor de las distribuciones y el valor redistribuido como directas a los beneficiarios.</w:t>
      </w:r>
    </w:p>
    <w:p w14:paraId="037FDC04" w14:textId="77777777" w:rsidR="007C7EF4" w:rsidRPr="00CD459A" w:rsidRDefault="007C7EF4" w:rsidP="007C7EF4">
      <w:pPr>
        <w:suppressLineNumbers/>
        <w:tabs>
          <w:tab w:val="left" w:pos="-720"/>
        </w:tabs>
        <w:ind w:left="284" w:hanging="284"/>
        <w:jc w:val="both"/>
        <w:rPr>
          <w:rFonts w:ascii="Verdana" w:hAnsi="Verdana" w:cs="Arial"/>
        </w:rPr>
      </w:pPr>
    </w:p>
    <w:p w14:paraId="5B283123"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21FCDDBC" w14:textId="77777777" w:rsidR="00CD459A" w:rsidRPr="00CD459A" w:rsidRDefault="00CD459A" w:rsidP="007C7EF4">
      <w:pPr>
        <w:suppressLineNumbers/>
        <w:tabs>
          <w:tab w:val="left" w:pos="-720"/>
        </w:tabs>
        <w:ind w:left="284" w:hanging="284"/>
        <w:jc w:val="both"/>
        <w:rPr>
          <w:rFonts w:ascii="Verdana" w:hAnsi="Verdana" w:cs="Arial"/>
        </w:rPr>
      </w:pPr>
    </w:p>
    <w:p w14:paraId="4799B329" w14:textId="1A1BF4CE"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DEBITA CON:</w:t>
      </w:r>
    </w:p>
    <w:p w14:paraId="6E7B0CA0" w14:textId="77777777" w:rsidR="007C7EF4" w:rsidRDefault="007C7EF4" w:rsidP="00AB3D96">
      <w:pPr>
        <w:pStyle w:val="Prrafodelista"/>
        <w:numPr>
          <w:ilvl w:val="0"/>
          <w:numId w:val="81"/>
        </w:numPr>
        <w:suppressLineNumbers/>
        <w:tabs>
          <w:tab w:val="left" w:pos="-720"/>
        </w:tabs>
        <w:spacing w:line="240" w:lineRule="auto"/>
        <w:jc w:val="both"/>
        <w:rPr>
          <w:rFonts w:ascii="Verdana" w:hAnsi="Verdana" w:cs="Arial"/>
        </w:rPr>
      </w:pPr>
      <w:r w:rsidRPr="00CD459A">
        <w:rPr>
          <w:rFonts w:ascii="Verdana" w:hAnsi="Verdana" w:cs="Arial"/>
        </w:rPr>
        <w:t>El valor redistribuido como asignaciones directas a los beneficiarios, del valor que había sido distribuido como Fondo de Desarrollo Regional para – Compensación de Asignaciones Directas, con crédito a la subcuenta 991590 - Otras cuentas acreedoras de control.</w:t>
      </w:r>
    </w:p>
    <w:p w14:paraId="10AF66B1" w14:textId="77777777" w:rsidR="00CD459A" w:rsidRPr="00CD459A" w:rsidRDefault="00CD459A" w:rsidP="00CD459A">
      <w:pPr>
        <w:pStyle w:val="Prrafodelista"/>
        <w:suppressLineNumbers/>
        <w:tabs>
          <w:tab w:val="left" w:pos="-720"/>
        </w:tabs>
        <w:spacing w:line="240" w:lineRule="auto"/>
        <w:jc w:val="both"/>
        <w:rPr>
          <w:rFonts w:ascii="Verdana" w:hAnsi="Verdana" w:cs="Arial"/>
        </w:rPr>
      </w:pPr>
    </w:p>
    <w:p w14:paraId="7C39E792" w14:textId="525B7885"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ACREDITA CON:</w:t>
      </w:r>
    </w:p>
    <w:p w14:paraId="5475CAAB" w14:textId="77777777" w:rsidR="007C7EF4" w:rsidRPr="00CD459A" w:rsidRDefault="007C7EF4" w:rsidP="00AB3D96">
      <w:pPr>
        <w:pStyle w:val="Prrafodelista"/>
        <w:numPr>
          <w:ilvl w:val="0"/>
          <w:numId w:val="82"/>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el Fondo de Desarrollo Regional – Compensación de Asignaciones Directas, con debito a la subcuenta 991590 - Otras cuentas acreedoras de control.</w:t>
      </w:r>
    </w:p>
    <w:p w14:paraId="45ECE673" w14:textId="77777777" w:rsidR="007C7EF4" w:rsidRPr="00CD459A" w:rsidRDefault="007C7EF4" w:rsidP="00AB3D96">
      <w:pPr>
        <w:pStyle w:val="Prrafodelista"/>
        <w:numPr>
          <w:ilvl w:val="0"/>
          <w:numId w:val="82"/>
        </w:numPr>
        <w:suppressLineNumbers/>
        <w:tabs>
          <w:tab w:val="left" w:pos="-720"/>
        </w:tabs>
        <w:spacing w:line="240" w:lineRule="auto"/>
        <w:jc w:val="both"/>
        <w:rPr>
          <w:rFonts w:ascii="Verdana" w:hAnsi="Verdana" w:cs="Arial"/>
        </w:rPr>
      </w:pPr>
      <w:r w:rsidRPr="00CD459A">
        <w:rPr>
          <w:rFonts w:ascii="Verdana" w:hAnsi="Verdana" w:cs="Arial"/>
        </w:rPr>
        <w:t>El valor de los descuentos FDR bolsa compensaciones asignaciones directas ordenados por el Departamento Nacional de Planeación, con debito a la subcuenta 991590 - Otras cuentas acreedoras de control.</w:t>
      </w:r>
    </w:p>
    <w:p w14:paraId="2C51ABEF" w14:textId="77777777" w:rsidR="007C7EF4" w:rsidRPr="00CD459A" w:rsidRDefault="007C7EF4" w:rsidP="007C7EF4">
      <w:pPr>
        <w:jc w:val="both"/>
        <w:rPr>
          <w:rFonts w:ascii="Verdana" w:hAnsi="Verdana" w:cs="Arial"/>
        </w:rPr>
      </w:pP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10D378E5"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43DC7B7"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612393CA"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CE9A432"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1A4CD6A7"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43B8B198"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BD1B3D3"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56EC55D5"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43A59E5A"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937004</w:t>
            </w:r>
          </w:p>
        </w:tc>
      </w:tr>
      <w:tr w:rsidR="00CD459A" w:rsidRPr="00CD459A" w14:paraId="23E685AD" w14:textId="77777777" w:rsidTr="003B74CE">
        <w:trPr>
          <w:trHeight w:hRule="exact" w:val="847"/>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F81F853"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58205567"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6B7934AB" w14:textId="77777777" w:rsidR="007C7EF4" w:rsidRPr="00CD459A" w:rsidRDefault="007C7EF4" w:rsidP="003B74CE">
            <w:pPr>
              <w:pStyle w:val="TableParagraph"/>
              <w:spacing w:before="80"/>
              <w:ind w:left="100" w:right="254"/>
              <w:jc w:val="both"/>
              <w:rPr>
                <w:rFonts w:ascii="Verdana" w:hAnsi="Verdana" w:cs="Arial"/>
              </w:rPr>
            </w:pPr>
            <w:r w:rsidRPr="00CD459A">
              <w:rPr>
                <w:rFonts w:ascii="Verdana" w:hAnsi="Verdana" w:cs="Arial"/>
                <w:b/>
              </w:rPr>
              <w:t>ASIGNACION PARA LA PAZ</w:t>
            </w:r>
          </w:p>
        </w:tc>
      </w:tr>
    </w:tbl>
    <w:p w14:paraId="5DA2F392" w14:textId="77777777" w:rsidR="007C7EF4" w:rsidRPr="00CD459A" w:rsidRDefault="007C7EF4" w:rsidP="007C7EF4">
      <w:pPr>
        <w:suppressLineNumbers/>
        <w:tabs>
          <w:tab w:val="left" w:pos="-720"/>
        </w:tabs>
        <w:ind w:left="284" w:hanging="284"/>
        <w:jc w:val="both"/>
        <w:rPr>
          <w:rFonts w:ascii="Verdana" w:hAnsi="Verdana" w:cs="Arial"/>
        </w:rPr>
      </w:pPr>
    </w:p>
    <w:p w14:paraId="3F1BB6C3" w14:textId="3E9AC3EF"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253F304E"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asignación paz que no posee los elementos necesarios (Valor, tercero y concepto de distribución), para ser causados en cuentas patrimoniales.</w:t>
      </w:r>
    </w:p>
    <w:p w14:paraId="042CF589" w14:textId="77777777" w:rsidR="007C7EF4" w:rsidRPr="00CD459A" w:rsidRDefault="007C7EF4" w:rsidP="007C7EF4">
      <w:pPr>
        <w:suppressLineNumbers/>
        <w:tabs>
          <w:tab w:val="left" w:pos="-720"/>
        </w:tabs>
        <w:ind w:left="284" w:hanging="284"/>
        <w:jc w:val="both"/>
        <w:rPr>
          <w:rFonts w:ascii="Verdana" w:hAnsi="Verdana" w:cs="Arial"/>
        </w:rPr>
      </w:pPr>
    </w:p>
    <w:p w14:paraId="255D8DFD" w14:textId="47DE84D5"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111CD9E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acusación de esta subcuenta se realiza por el valor que el Departamento Nacional de Planeación distribuye para asignación paz y las desafectaciones por el valor asignado por el Órgano colegiado de administración y decisión para cada entidad beneficiaria de estos recursos.</w:t>
      </w:r>
    </w:p>
    <w:p w14:paraId="1AE07F90" w14:textId="77777777" w:rsidR="007C7EF4" w:rsidRPr="00CD459A" w:rsidRDefault="007C7EF4" w:rsidP="007C7EF4">
      <w:pPr>
        <w:suppressLineNumbers/>
        <w:tabs>
          <w:tab w:val="left" w:pos="-720"/>
        </w:tabs>
        <w:jc w:val="both"/>
        <w:rPr>
          <w:rFonts w:ascii="Verdana" w:hAnsi="Verdana" w:cs="Arial"/>
        </w:rPr>
      </w:pPr>
    </w:p>
    <w:p w14:paraId="25D67D11" w14:textId="1D10BA7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3088B4D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Instrucción Abono en Cuenta Emitida por el Departamento Nacional de Planeación. </w:t>
      </w:r>
    </w:p>
    <w:p w14:paraId="078F6B43" w14:textId="77777777" w:rsidR="007C7EF4" w:rsidRPr="00CD459A" w:rsidRDefault="007C7EF4" w:rsidP="007C7EF4">
      <w:pPr>
        <w:suppressLineNumbers/>
        <w:tabs>
          <w:tab w:val="left" w:pos="-720"/>
        </w:tabs>
        <w:ind w:left="284" w:hanging="284"/>
        <w:jc w:val="both"/>
        <w:rPr>
          <w:rFonts w:ascii="Verdana" w:hAnsi="Verdana" w:cs="Arial"/>
        </w:rPr>
      </w:pPr>
    </w:p>
    <w:p w14:paraId="7BD70FE9" w14:textId="65E854F9"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49595582" w14:textId="1B01E1B9" w:rsidR="007C7EF4" w:rsidRDefault="007C7EF4" w:rsidP="007C7EF4">
      <w:pPr>
        <w:suppressLineNumbers/>
        <w:tabs>
          <w:tab w:val="left" w:pos="-720"/>
        </w:tabs>
        <w:jc w:val="both"/>
        <w:rPr>
          <w:rFonts w:ascii="Verdana" w:hAnsi="Verdana" w:cs="Arial"/>
        </w:rPr>
      </w:pPr>
      <w:r w:rsidRPr="00CD459A">
        <w:rPr>
          <w:rFonts w:ascii="Verdana" w:hAnsi="Verdana" w:cs="Arial"/>
        </w:rPr>
        <w:t xml:space="preserve">El Saldo contable se compara frente a los valores distribuidos por el DNP, por concepto de asignación paz, menos el valor asignado por el OCAD para cada entidad beneficiaria. </w:t>
      </w:r>
    </w:p>
    <w:p w14:paraId="72774D95" w14:textId="77777777" w:rsidR="00CD459A" w:rsidRPr="00CD459A" w:rsidRDefault="00CD459A" w:rsidP="007C7EF4">
      <w:pPr>
        <w:suppressLineNumbers/>
        <w:tabs>
          <w:tab w:val="left" w:pos="-720"/>
        </w:tabs>
        <w:jc w:val="both"/>
        <w:rPr>
          <w:rFonts w:ascii="Verdana" w:hAnsi="Verdana" w:cs="Arial"/>
        </w:rPr>
      </w:pPr>
    </w:p>
    <w:p w14:paraId="3B397A5A" w14:textId="25D29744" w:rsidR="007C7EF4" w:rsidRPr="00CD459A" w:rsidRDefault="007C7EF4" w:rsidP="00CD459A">
      <w:pPr>
        <w:suppressLineNumbers/>
        <w:tabs>
          <w:tab w:val="left" w:pos="-720"/>
        </w:tabs>
        <w:jc w:val="both"/>
        <w:rPr>
          <w:rFonts w:ascii="Verdana" w:hAnsi="Verdana" w:cs="Arial"/>
        </w:rPr>
      </w:pPr>
      <w:r w:rsidRPr="00CD459A">
        <w:rPr>
          <w:rFonts w:ascii="Verdana" w:hAnsi="Verdana" w:cs="Arial"/>
        </w:rPr>
        <w:t>REVELACIONES</w:t>
      </w:r>
    </w:p>
    <w:p w14:paraId="2717AEE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cuenta se revela el valor que corresponde a vigencia anterior, y de la vigencia actual se detalla el valor de las distribuciones y el valor asignado por el OCAD para cada entidad beneficiaria. </w:t>
      </w:r>
    </w:p>
    <w:p w14:paraId="529DCD73" w14:textId="77777777" w:rsidR="007C7EF4" w:rsidRPr="00CD459A" w:rsidRDefault="007C7EF4" w:rsidP="007C7EF4">
      <w:pPr>
        <w:suppressLineNumbers/>
        <w:tabs>
          <w:tab w:val="left" w:pos="-720"/>
        </w:tabs>
        <w:ind w:left="284" w:hanging="284"/>
        <w:jc w:val="both"/>
        <w:rPr>
          <w:rFonts w:ascii="Verdana" w:hAnsi="Verdana" w:cs="Arial"/>
        </w:rPr>
      </w:pPr>
    </w:p>
    <w:p w14:paraId="0ADFA672"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41012BF2" w14:textId="77777777" w:rsidR="007C7EF4" w:rsidRPr="00CD459A" w:rsidRDefault="007C7EF4" w:rsidP="007C7EF4">
      <w:pPr>
        <w:suppressLineNumbers/>
        <w:tabs>
          <w:tab w:val="left" w:pos="-720"/>
        </w:tabs>
        <w:ind w:left="284" w:hanging="284"/>
        <w:jc w:val="both"/>
        <w:rPr>
          <w:rFonts w:ascii="Verdana" w:hAnsi="Verdana" w:cs="Arial"/>
        </w:rPr>
      </w:pPr>
    </w:p>
    <w:p w14:paraId="40FC152B" w14:textId="4F12F876"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DEBITA CON:</w:t>
      </w:r>
    </w:p>
    <w:p w14:paraId="21C4D708" w14:textId="77777777" w:rsidR="007C7EF4" w:rsidRPr="00CD459A" w:rsidRDefault="007C7EF4" w:rsidP="00AB3D96">
      <w:pPr>
        <w:pStyle w:val="Prrafodelista"/>
        <w:widowControl w:val="0"/>
        <w:numPr>
          <w:ilvl w:val="0"/>
          <w:numId w:val="68"/>
        </w:numPr>
        <w:suppressLineNumbers/>
        <w:tabs>
          <w:tab w:val="left" w:pos="-720"/>
        </w:tabs>
        <w:autoSpaceDE w:val="0"/>
        <w:autoSpaceDN w:val="0"/>
        <w:adjustRightInd w:val="0"/>
        <w:spacing w:line="240" w:lineRule="auto"/>
        <w:ind w:left="567" w:hanging="283"/>
        <w:jc w:val="both"/>
        <w:rPr>
          <w:rFonts w:ascii="Verdana" w:hAnsi="Verdana" w:cs="Arial"/>
        </w:rPr>
      </w:pPr>
      <w:r w:rsidRPr="00CD459A">
        <w:rPr>
          <w:rFonts w:ascii="Verdana" w:hAnsi="Verdana" w:cs="Arial"/>
        </w:rPr>
        <w:t>El valor asignado por el Órgano colegiado de administración y decisión para cada entidad beneficiaria de estos recursos, con crédito a la subcuenta 991590 - Otras cuentas acreedoras de control.</w:t>
      </w:r>
    </w:p>
    <w:p w14:paraId="436506CB" w14:textId="3340914D" w:rsidR="007C7EF4" w:rsidRPr="00CD459A" w:rsidRDefault="007C7EF4" w:rsidP="00CD459A">
      <w:pPr>
        <w:widowControl w:val="0"/>
        <w:suppressLineNumbers/>
        <w:tabs>
          <w:tab w:val="left" w:pos="-720"/>
        </w:tabs>
        <w:autoSpaceDE w:val="0"/>
        <w:autoSpaceDN w:val="0"/>
        <w:adjustRightInd w:val="0"/>
        <w:jc w:val="both"/>
        <w:rPr>
          <w:rFonts w:ascii="Verdana" w:hAnsi="Verdana" w:cs="Arial"/>
        </w:rPr>
      </w:pPr>
      <w:r w:rsidRPr="00CD459A">
        <w:rPr>
          <w:rFonts w:ascii="Verdana" w:hAnsi="Verdana" w:cs="Arial"/>
        </w:rPr>
        <w:t>SE ACREDITA CON:</w:t>
      </w:r>
    </w:p>
    <w:p w14:paraId="15C26FEB" w14:textId="77777777" w:rsidR="007C7EF4" w:rsidRPr="00CD459A" w:rsidRDefault="007C7EF4" w:rsidP="00AB3D96">
      <w:pPr>
        <w:pStyle w:val="Prrafodelista"/>
        <w:numPr>
          <w:ilvl w:val="0"/>
          <w:numId w:val="82"/>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asignación Paz, con debito a la subcuenta 991590 - Otras cuentas acreedoras de control.</w:t>
      </w: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19A45075"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F4C3980" w14:textId="77777777" w:rsidR="007C7EF4" w:rsidRPr="00CD459A" w:rsidRDefault="007C7EF4" w:rsidP="003B74CE">
            <w:pPr>
              <w:pStyle w:val="TableParagraph"/>
              <w:spacing w:before="81"/>
              <w:ind w:left="709" w:right="719" w:hanging="709"/>
              <w:jc w:val="center"/>
              <w:rPr>
                <w:rFonts w:ascii="Verdana" w:hAnsi="Verdana" w:cs="Arial"/>
                <w:b/>
              </w:rPr>
            </w:pPr>
            <w:r w:rsidRPr="00CD459A">
              <w:rPr>
                <w:rFonts w:ascii="Verdana" w:hAnsi="Verdana" w:cs="Arial"/>
                <w:b/>
              </w:rPr>
              <w:t>CLASE</w:t>
            </w:r>
          </w:p>
          <w:p w14:paraId="0A46C702"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584D5398"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298CCD14"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7391B19F"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FAF6A53"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178ED97B"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5E3A09AA"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937005</w:t>
            </w:r>
          </w:p>
        </w:tc>
      </w:tr>
      <w:tr w:rsidR="00CD459A" w:rsidRPr="00CD459A" w14:paraId="6C106FDA" w14:textId="77777777" w:rsidTr="003B74CE">
        <w:trPr>
          <w:trHeight w:hRule="exact" w:val="847"/>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580C0F"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47D3797C"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16E86251" w14:textId="77777777" w:rsidR="007C7EF4" w:rsidRPr="00CD459A" w:rsidRDefault="007C7EF4" w:rsidP="003B74CE">
            <w:pPr>
              <w:pStyle w:val="TableParagraph"/>
              <w:spacing w:before="80"/>
              <w:ind w:left="100" w:right="254"/>
              <w:jc w:val="both"/>
              <w:rPr>
                <w:rFonts w:ascii="Verdana" w:hAnsi="Verdana" w:cs="Arial"/>
                <w:lang w:val="es-CO"/>
              </w:rPr>
            </w:pPr>
            <w:r w:rsidRPr="00CD459A">
              <w:rPr>
                <w:rFonts w:ascii="Verdana" w:hAnsi="Verdana" w:cs="Arial"/>
                <w:b/>
                <w:lang w:val="es-CO"/>
              </w:rPr>
              <w:t>FISCALIZACION DEL SISTEMA GENERAL DE REGALIAS</w:t>
            </w:r>
          </w:p>
        </w:tc>
      </w:tr>
    </w:tbl>
    <w:p w14:paraId="4D9FE166" w14:textId="77777777" w:rsidR="007C7EF4" w:rsidRPr="00CD459A" w:rsidRDefault="007C7EF4" w:rsidP="007C7EF4">
      <w:pPr>
        <w:jc w:val="both"/>
        <w:rPr>
          <w:rFonts w:ascii="Verdana" w:hAnsi="Verdana" w:cs="Arial"/>
        </w:rPr>
      </w:pPr>
    </w:p>
    <w:p w14:paraId="7EEC8545" w14:textId="2432284B"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52C1A51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fiscalización del SGR que no tiene los elementos necesarios para causarlos en cuentas patrimoniales, generalmente porque no está identificada la entidad beneficiaria.</w:t>
      </w:r>
    </w:p>
    <w:p w14:paraId="69E8763E" w14:textId="77777777" w:rsidR="007C7EF4" w:rsidRPr="00CD459A" w:rsidRDefault="007C7EF4" w:rsidP="007C7EF4">
      <w:pPr>
        <w:suppressLineNumbers/>
        <w:tabs>
          <w:tab w:val="left" w:pos="-720"/>
        </w:tabs>
        <w:ind w:left="284" w:hanging="284"/>
        <w:jc w:val="both"/>
        <w:rPr>
          <w:rFonts w:ascii="Verdana" w:hAnsi="Verdana" w:cs="Arial"/>
        </w:rPr>
      </w:pPr>
    </w:p>
    <w:p w14:paraId="100BAE53" w14:textId="71C4C122"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2B2B6CBD"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causación de esta subcuenta se realiza por el valor que el Departamento Nacional de Planeación distribuye para fiscalización del SGR que no tiene los elementos necesarios para causarlos en cuentas patrimoniales y las desafectaciones por el valor redistribuido a los beneficiarios de Fiscalización del SGR.</w:t>
      </w:r>
    </w:p>
    <w:p w14:paraId="3BF7462F" w14:textId="77777777" w:rsidR="007C7EF4" w:rsidRPr="00CD459A" w:rsidRDefault="007C7EF4" w:rsidP="007C7EF4">
      <w:pPr>
        <w:suppressLineNumbers/>
        <w:tabs>
          <w:tab w:val="left" w:pos="-720"/>
        </w:tabs>
        <w:jc w:val="both"/>
        <w:rPr>
          <w:rFonts w:ascii="Verdana" w:hAnsi="Verdana" w:cs="Arial"/>
        </w:rPr>
      </w:pPr>
    </w:p>
    <w:p w14:paraId="40C2A773" w14:textId="6FF64F81"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069EC93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Instrucción Abono en cuenta emitida por el Departamento Nacional de Planeación.</w:t>
      </w:r>
    </w:p>
    <w:p w14:paraId="149AD033" w14:textId="77777777" w:rsidR="007C7EF4" w:rsidRPr="00CD459A" w:rsidRDefault="007C7EF4" w:rsidP="007C7EF4">
      <w:pPr>
        <w:suppressLineNumbers/>
        <w:tabs>
          <w:tab w:val="left" w:pos="-720"/>
        </w:tabs>
        <w:ind w:left="284" w:hanging="284"/>
        <w:jc w:val="both"/>
        <w:rPr>
          <w:rFonts w:ascii="Verdana" w:hAnsi="Verdana" w:cs="Arial"/>
        </w:rPr>
      </w:pPr>
    </w:p>
    <w:p w14:paraId="23447602" w14:textId="560F64B4"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146FE12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contable se compara frente a los valores distribuidos por el DNP, por concepto de Fiscalización SGR, menos el valor de las redistribuciones a los beneficiarios de Fiscalización del SGR.</w:t>
      </w:r>
    </w:p>
    <w:p w14:paraId="231C5D85" w14:textId="77777777" w:rsidR="007C7EF4" w:rsidRPr="00CD459A" w:rsidRDefault="007C7EF4" w:rsidP="007C7EF4">
      <w:pPr>
        <w:suppressLineNumbers/>
        <w:tabs>
          <w:tab w:val="left" w:pos="-720"/>
        </w:tabs>
        <w:ind w:left="284" w:hanging="284"/>
        <w:jc w:val="both"/>
        <w:rPr>
          <w:rFonts w:ascii="Verdana" w:hAnsi="Verdana" w:cs="Arial"/>
        </w:rPr>
      </w:pPr>
    </w:p>
    <w:p w14:paraId="37716A86" w14:textId="27973C7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1510728B"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cuenta se revela el valor de las distribuciones y el valor de las redistribuciones. </w:t>
      </w:r>
    </w:p>
    <w:p w14:paraId="33070C7F" w14:textId="77777777" w:rsidR="007C7EF4" w:rsidRPr="00CD459A" w:rsidRDefault="007C7EF4" w:rsidP="007C7EF4">
      <w:pPr>
        <w:suppressLineNumbers/>
        <w:tabs>
          <w:tab w:val="left" w:pos="-720"/>
        </w:tabs>
        <w:ind w:left="284" w:hanging="284"/>
        <w:jc w:val="both"/>
        <w:rPr>
          <w:rFonts w:ascii="Verdana" w:hAnsi="Verdana" w:cs="Arial"/>
        </w:rPr>
      </w:pPr>
    </w:p>
    <w:p w14:paraId="30774159"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A12CBAC" w14:textId="77777777" w:rsidR="007C7EF4" w:rsidRPr="00CD459A" w:rsidRDefault="007C7EF4" w:rsidP="007C7EF4">
      <w:pPr>
        <w:suppressLineNumbers/>
        <w:tabs>
          <w:tab w:val="left" w:pos="-720"/>
        </w:tabs>
        <w:ind w:left="284" w:hanging="284"/>
        <w:jc w:val="both"/>
        <w:rPr>
          <w:rFonts w:ascii="Verdana" w:hAnsi="Verdana" w:cs="Arial"/>
        </w:rPr>
      </w:pPr>
    </w:p>
    <w:p w14:paraId="6E1C653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5264DA9B" w14:textId="77777777" w:rsidR="007C7EF4" w:rsidRPr="00CD459A" w:rsidRDefault="007C7EF4" w:rsidP="007C7EF4">
      <w:pPr>
        <w:suppressLineNumbers/>
        <w:tabs>
          <w:tab w:val="left" w:pos="-720"/>
        </w:tabs>
        <w:ind w:left="284" w:hanging="284"/>
        <w:jc w:val="both"/>
        <w:rPr>
          <w:rFonts w:ascii="Verdana" w:hAnsi="Verdana" w:cs="Arial"/>
        </w:rPr>
      </w:pPr>
    </w:p>
    <w:p w14:paraId="0223597C" w14:textId="77777777" w:rsidR="007C7EF4" w:rsidRPr="00CD459A" w:rsidRDefault="007C7EF4" w:rsidP="00AB3D96">
      <w:pPr>
        <w:pStyle w:val="Prrafodelista"/>
        <w:numPr>
          <w:ilvl w:val="0"/>
          <w:numId w:val="79"/>
        </w:numPr>
        <w:suppressLineNumbers/>
        <w:tabs>
          <w:tab w:val="left" w:pos="-720"/>
        </w:tabs>
        <w:spacing w:line="240" w:lineRule="auto"/>
        <w:jc w:val="both"/>
        <w:rPr>
          <w:rFonts w:ascii="Verdana" w:hAnsi="Verdana" w:cs="Arial"/>
        </w:rPr>
      </w:pPr>
      <w:r w:rsidRPr="00CD459A">
        <w:rPr>
          <w:rFonts w:ascii="Verdana" w:hAnsi="Verdana" w:cs="Arial"/>
        </w:rPr>
        <w:t>El valor de las redistribuciones por concepto de Fiscalización SGR crédito a la subcuenta 991590 - Otras cuentas acreedoras de control.</w:t>
      </w:r>
    </w:p>
    <w:p w14:paraId="212C901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45A16681" w14:textId="77777777" w:rsidR="007C7EF4" w:rsidRPr="00CD459A" w:rsidRDefault="007C7EF4" w:rsidP="007C7EF4">
      <w:pPr>
        <w:suppressLineNumbers/>
        <w:tabs>
          <w:tab w:val="left" w:pos="-720"/>
        </w:tabs>
        <w:ind w:left="284" w:hanging="284"/>
        <w:jc w:val="both"/>
        <w:rPr>
          <w:rFonts w:ascii="Verdana" w:hAnsi="Verdana" w:cs="Arial"/>
        </w:rPr>
      </w:pPr>
    </w:p>
    <w:p w14:paraId="5BE635A8" w14:textId="77777777" w:rsidR="007C7EF4" w:rsidRPr="00CD459A" w:rsidRDefault="007C7EF4" w:rsidP="00AB3D96">
      <w:pPr>
        <w:pStyle w:val="Prrafodelista"/>
        <w:widowControl w:val="0"/>
        <w:numPr>
          <w:ilvl w:val="0"/>
          <w:numId w:val="79"/>
        </w:numPr>
        <w:autoSpaceDE w:val="0"/>
        <w:autoSpaceDN w:val="0"/>
        <w:adjustRightInd w:val="0"/>
        <w:spacing w:line="240" w:lineRule="auto"/>
        <w:jc w:val="both"/>
        <w:rPr>
          <w:rFonts w:ascii="Verdana" w:hAnsi="Verdana" w:cs="Arial"/>
        </w:rPr>
      </w:pPr>
      <w:r w:rsidRPr="00CD459A">
        <w:rPr>
          <w:rFonts w:ascii="Verdana" w:hAnsi="Verdana" w:cs="Arial"/>
        </w:rPr>
        <w:t>El valor distribuido por el DNP por concepto de fiscalización del SGR, que no posee los elementos necesarios (Valor, tercero y concepto de distribución).</w:t>
      </w:r>
    </w:p>
    <w:p w14:paraId="29A56339" w14:textId="77777777" w:rsidR="007C7EF4" w:rsidRPr="00CD459A" w:rsidRDefault="007C7EF4" w:rsidP="007C7EF4">
      <w:pPr>
        <w:suppressLineNumbers/>
        <w:tabs>
          <w:tab w:val="left" w:pos="-720"/>
        </w:tabs>
        <w:ind w:left="284" w:hanging="284"/>
        <w:jc w:val="both"/>
        <w:rPr>
          <w:rFonts w:ascii="Verdana" w:hAnsi="Verdana" w:cs="Arial"/>
        </w:rPr>
      </w:pPr>
    </w:p>
    <w:p w14:paraId="48DC387B" w14:textId="77777777" w:rsidR="007C7EF4" w:rsidRPr="00CD459A" w:rsidRDefault="007C7EF4" w:rsidP="007C7EF4">
      <w:pPr>
        <w:jc w:val="both"/>
        <w:rPr>
          <w:rFonts w:ascii="Verdana" w:hAnsi="Verdana" w:cs="Arial"/>
        </w:rPr>
      </w:pPr>
    </w:p>
    <w:p w14:paraId="436F980E" w14:textId="77777777" w:rsidR="007C7EF4" w:rsidRPr="00CD459A" w:rsidRDefault="007C7EF4" w:rsidP="007C7EF4">
      <w:pPr>
        <w:jc w:val="both"/>
        <w:rPr>
          <w:rFonts w:ascii="Verdana" w:hAnsi="Verdana" w:cs="Arial"/>
        </w:rPr>
      </w:pP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718670C7"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B2934F8"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66E1C670"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7E86A74D"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0ECD3567"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18FA86E8"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A1839E"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48433205"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54E2B9B0"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937006</w:t>
            </w:r>
          </w:p>
        </w:tc>
      </w:tr>
      <w:tr w:rsidR="00CD459A" w:rsidRPr="00CD459A" w14:paraId="0209B4FC" w14:textId="77777777" w:rsidTr="003B74CE">
        <w:trPr>
          <w:trHeight w:hRule="exact" w:val="88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E163052"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1448A2EB"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419EBEC7" w14:textId="77777777" w:rsidR="007C7EF4" w:rsidRPr="00CD459A" w:rsidRDefault="007C7EF4" w:rsidP="003B74CE">
            <w:pPr>
              <w:pStyle w:val="TableParagraph"/>
              <w:spacing w:before="80"/>
              <w:ind w:right="254"/>
              <w:jc w:val="both"/>
              <w:rPr>
                <w:rFonts w:ascii="Verdana" w:hAnsi="Verdana" w:cs="Arial"/>
                <w:b/>
                <w:lang w:val="es-CO"/>
              </w:rPr>
            </w:pPr>
            <w:r w:rsidRPr="00CD459A">
              <w:rPr>
                <w:rFonts w:ascii="Verdana" w:hAnsi="Verdana" w:cs="Arial"/>
                <w:b/>
                <w:lang w:val="es-CO"/>
              </w:rPr>
              <w:t>FUNCIONAMIENTOS DEL SISTEMA GENERAL DE REGALIAS</w:t>
            </w:r>
          </w:p>
        </w:tc>
      </w:tr>
    </w:tbl>
    <w:p w14:paraId="4970CF1C" w14:textId="77777777" w:rsidR="007C7EF4" w:rsidRPr="00CD459A" w:rsidRDefault="007C7EF4" w:rsidP="007C7EF4">
      <w:pPr>
        <w:jc w:val="both"/>
        <w:rPr>
          <w:rFonts w:ascii="Verdana" w:hAnsi="Verdana" w:cs="Arial"/>
        </w:rPr>
      </w:pPr>
    </w:p>
    <w:p w14:paraId="5AE244F9" w14:textId="79395EB5"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357CDAC7"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funcionamiento del SGR que no tiene los elementos necesarios para causarlos en cuentas patrimoniales, generalmente porque no está identificada la entidad beneficiaria.</w:t>
      </w:r>
    </w:p>
    <w:p w14:paraId="11E1C15D" w14:textId="77777777" w:rsidR="007C7EF4" w:rsidRPr="00CD459A" w:rsidRDefault="007C7EF4" w:rsidP="007C7EF4">
      <w:pPr>
        <w:suppressLineNumbers/>
        <w:tabs>
          <w:tab w:val="left" w:pos="-720"/>
        </w:tabs>
        <w:ind w:left="284" w:hanging="284"/>
        <w:jc w:val="both"/>
        <w:rPr>
          <w:rFonts w:ascii="Verdana" w:hAnsi="Verdana" w:cs="Arial"/>
        </w:rPr>
      </w:pPr>
    </w:p>
    <w:p w14:paraId="1CEA398F" w14:textId="771B9BEA"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60AED466"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causación de esta subcuenta se realiza por el valor que el Departamento Nacional de Planeación distribuye para funcionamiento del SGR que no tiene los elementos necesarios para causarlos en cuentas patrimoniales y las desafectaciones por el valor redistribuido a los beneficiarios de funcionamiento del SGR.</w:t>
      </w:r>
    </w:p>
    <w:p w14:paraId="2E1748C3" w14:textId="77777777" w:rsidR="007C7EF4" w:rsidRPr="00CD459A" w:rsidRDefault="007C7EF4" w:rsidP="007C7EF4">
      <w:pPr>
        <w:suppressLineNumbers/>
        <w:tabs>
          <w:tab w:val="left" w:pos="-720"/>
        </w:tabs>
        <w:jc w:val="both"/>
        <w:rPr>
          <w:rFonts w:ascii="Verdana" w:hAnsi="Verdana" w:cs="Arial"/>
        </w:rPr>
      </w:pPr>
    </w:p>
    <w:p w14:paraId="4FE71E41" w14:textId="28F34BF4"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708081B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Instrucción Abono en cuenta emitida por el Departamento Nacional de Planeación.</w:t>
      </w:r>
    </w:p>
    <w:p w14:paraId="0CFD7572" w14:textId="77777777" w:rsidR="007C7EF4" w:rsidRPr="00CD459A" w:rsidRDefault="007C7EF4" w:rsidP="007C7EF4">
      <w:pPr>
        <w:suppressLineNumbers/>
        <w:tabs>
          <w:tab w:val="left" w:pos="-720"/>
        </w:tabs>
        <w:ind w:left="284" w:hanging="284"/>
        <w:jc w:val="both"/>
        <w:rPr>
          <w:rFonts w:ascii="Verdana" w:hAnsi="Verdana" w:cs="Arial"/>
        </w:rPr>
      </w:pPr>
    </w:p>
    <w:p w14:paraId="7D4F0A4A" w14:textId="18B58F68"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5C4AC479"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contable se compara frente a los valores distribuidos por el DNP, por concepto de funcionamiento SGR, menos el valor de las redistribuciones a los beneficiarios de funcionamiento del SGR.</w:t>
      </w:r>
    </w:p>
    <w:p w14:paraId="3B603F15" w14:textId="77777777" w:rsidR="007C7EF4" w:rsidRPr="00CD459A" w:rsidRDefault="007C7EF4" w:rsidP="007C7EF4">
      <w:pPr>
        <w:suppressLineNumbers/>
        <w:tabs>
          <w:tab w:val="left" w:pos="-720"/>
        </w:tabs>
        <w:ind w:left="284" w:hanging="284"/>
        <w:jc w:val="both"/>
        <w:rPr>
          <w:rFonts w:ascii="Verdana" w:hAnsi="Verdana" w:cs="Arial"/>
        </w:rPr>
      </w:pPr>
    </w:p>
    <w:p w14:paraId="36C59C71" w14:textId="77777777" w:rsid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REVELACIONES</w:t>
      </w:r>
    </w:p>
    <w:p w14:paraId="3A597406" w14:textId="4CA37B7F"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De esta cuenta se revela el valor de las distribuciones y el valor de las redistribuciones. </w:t>
      </w:r>
    </w:p>
    <w:p w14:paraId="14C4E778"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0F09F8A" w14:textId="77777777" w:rsidR="007C7EF4" w:rsidRPr="00CD459A" w:rsidRDefault="007C7EF4" w:rsidP="007C7EF4">
      <w:pPr>
        <w:suppressLineNumbers/>
        <w:tabs>
          <w:tab w:val="left" w:pos="-720"/>
        </w:tabs>
        <w:ind w:left="284" w:hanging="284"/>
        <w:jc w:val="both"/>
        <w:rPr>
          <w:rFonts w:ascii="Verdana" w:hAnsi="Verdana" w:cs="Arial"/>
        </w:rPr>
      </w:pPr>
    </w:p>
    <w:p w14:paraId="0A254CC6"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53FF0106" w14:textId="77777777" w:rsidR="007C7EF4" w:rsidRPr="00CD459A" w:rsidRDefault="007C7EF4" w:rsidP="007C7EF4">
      <w:pPr>
        <w:suppressLineNumbers/>
        <w:tabs>
          <w:tab w:val="left" w:pos="-720"/>
        </w:tabs>
        <w:ind w:left="284" w:hanging="284"/>
        <w:jc w:val="both"/>
        <w:rPr>
          <w:rFonts w:ascii="Verdana" w:hAnsi="Verdana" w:cs="Arial"/>
        </w:rPr>
      </w:pPr>
    </w:p>
    <w:p w14:paraId="78D72CC0" w14:textId="77777777" w:rsidR="007C7EF4" w:rsidRPr="00CD459A" w:rsidRDefault="007C7EF4" w:rsidP="00AB3D96">
      <w:pPr>
        <w:pStyle w:val="Prrafodelista"/>
        <w:numPr>
          <w:ilvl w:val="0"/>
          <w:numId w:val="79"/>
        </w:numPr>
        <w:suppressLineNumbers/>
        <w:tabs>
          <w:tab w:val="left" w:pos="-720"/>
        </w:tabs>
        <w:spacing w:line="240" w:lineRule="auto"/>
        <w:jc w:val="both"/>
        <w:rPr>
          <w:rFonts w:ascii="Verdana" w:hAnsi="Verdana" w:cs="Arial"/>
        </w:rPr>
      </w:pPr>
      <w:r w:rsidRPr="00CD459A">
        <w:rPr>
          <w:rFonts w:ascii="Verdana" w:hAnsi="Verdana" w:cs="Arial"/>
        </w:rPr>
        <w:t>El valor de las redistribuciones por concepto de funcionamiento SGR crédito a la subcuenta 991590 - Otras cuentas acreedoras de control.</w:t>
      </w:r>
    </w:p>
    <w:p w14:paraId="71DCBF54"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3CA4E3D7" w14:textId="77777777" w:rsidR="007C7EF4" w:rsidRPr="00CD459A" w:rsidRDefault="007C7EF4" w:rsidP="007C7EF4">
      <w:pPr>
        <w:suppressLineNumbers/>
        <w:tabs>
          <w:tab w:val="left" w:pos="-720"/>
        </w:tabs>
        <w:ind w:left="284" w:hanging="284"/>
        <w:jc w:val="both"/>
        <w:rPr>
          <w:rFonts w:ascii="Verdana" w:hAnsi="Verdana" w:cs="Arial"/>
        </w:rPr>
      </w:pPr>
    </w:p>
    <w:p w14:paraId="1CC57F5B" w14:textId="77777777" w:rsidR="007C7EF4" w:rsidRPr="00CD459A" w:rsidRDefault="007C7EF4" w:rsidP="00AB3D96">
      <w:pPr>
        <w:pStyle w:val="Prrafodelista"/>
        <w:widowControl w:val="0"/>
        <w:numPr>
          <w:ilvl w:val="0"/>
          <w:numId w:val="79"/>
        </w:numPr>
        <w:autoSpaceDE w:val="0"/>
        <w:autoSpaceDN w:val="0"/>
        <w:adjustRightInd w:val="0"/>
        <w:spacing w:line="240" w:lineRule="auto"/>
        <w:jc w:val="both"/>
        <w:rPr>
          <w:rFonts w:ascii="Verdana" w:hAnsi="Verdana" w:cs="Arial"/>
        </w:rPr>
      </w:pPr>
      <w:r w:rsidRPr="00CD459A">
        <w:rPr>
          <w:rFonts w:ascii="Verdana" w:hAnsi="Verdana" w:cs="Arial"/>
        </w:rPr>
        <w:t>El valor distribuido por el DNP por concepto de funcionamiento del SGR, que no posee los elementos necesarios (Valor, tercero y concepto de distribución).</w:t>
      </w:r>
    </w:p>
    <w:p w14:paraId="5FB38E23" w14:textId="77777777" w:rsidR="007C7EF4" w:rsidRPr="00CD459A" w:rsidRDefault="007C7EF4" w:rsidP="007C7EF4">
      <w:pPr>
        <w:suppressLineNumbers/>
        <w:tabs>
          <w:tab w:val="left" w:pos="-720"/>
        </w:tabs>
        <w:ind w:left="284" w:hanging="284"/>
        <w:jc w:val="both"/>
        <w:rPr>
          <w:rFonts w:ascii="Verdana" w:hAnsi="Verdana" w:cs="Arial"/>
        </w:rPr>
      </w:pPr>
    </w:p>
    <w:p w14:paraId="0660CAE1" w14:textId="77777777" w:rsidR="007C7EF4" w:rsidRPr="00CD459A" w:rsidRDefault="007C7EF4" w:rsidP="007C7EF4">
      <w:pPr>
        <w:jc w:val="both"/>
        <w:rPr>
          <w:rFonts w:ascii="Verdana" w:hAnsi="Verdana" w:cs="Arial"/>
        </w:rPr>
      </w:pPr>
    </w:p>
    <w:tbl>
      <w:tblPr>
        <w:tblW w:w="8707" w:type="dxa"/>
        <w:tblInd w:w="-5" w:type="dxa"/>
        <w:tblLayout w:type="fixed"/>
        <w:tblCellMar>
          <w:left w:w="0" w:type="dxa"/>
          <w:right w:w="0" w:type="dxa"/>
        </w:tblCellMar>
        <w:tblLook w:val="01E0" w:firstRow="1" w:lastRow="1" w:firstColumn="1" w:lastColumn="1" w:noHBand="0" w:noVBand="0"/>
      </w:tblPr>
      <w:tblGrid>
        <w:gridCol w:w="2410"/>
        <w:gridCol w:w="2693"/>
        <w:gridCol w:w="3604"/>
      </w:tblGrid>
      <w:tr w:rsidR="00CD459A" w:rsidRPr="00CD459A" w14:paraId="5E90A119" w14:textId="77777777" w:rsidTr="003B74CE">
        <w:trPr>
          <w:trHeight w:hRule="exact" w:val="406"/>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A53DE5F" w14:textId="77777777" w:rsidR="007C7EF4" w:rsidRPr="00CD459A" w:rsidRDefault="007C7EF4" w:rsidP="003B74CE">
            <w:pPr>
              <w:pStyle w:val="TableParagraph"/>
              <w:spacing w:before="81"/>
              <w:ind w:right="719"/>
              <w:jc w:val="center"/>
              <w:rPr>
                <w:rFonts w:ascii="Verdana" w:hAnsi="Verdana" w:cs="Arial"/>
                <w:b/>
              </w:rPr>
            </w:pPr>
            <w:r w:rsidRPr="00CD459A">
              <w:rPr>
                <w:rFonts w:ascii="Verdana" w:hAnsi="Verdana" w:cs="Arial"/>
                <w:b/>
              </w:rPr>
              <w:t>CLASE</w:t>
            </w:r>
          </w:p>
          <w:p w14:paraId="0E86CB0A" w14:textId="77777777" w:rsidR="007C7EF4" w:rsidRPr="00CD459A" w:rsidRDefault="007C7EF4" w:rsidP="003B74CE">
            <w:pPr>
              <w:pStyle w:val="TableParagraph"/>
              <w:spacing w:before="81"/>
              <w:ind w:left="670" w:right="719"/>
              <w:jc w:val="center"/>
              <w:rPr>
                <w:rFonts w:ascii="Verdana" w:hAnsi="Verdana" w:cs="Arial"/>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64280104" w14:textId="77777777" w:rsidR="007C7EF4" w:rsidRPr="00CD459A" w:rsidRDefault="007C7EF4" w:rsidP="003B74CE">
            <w:pPr>
              <w:pStyle w:val="TableParagraph"/>
              <w:spacing w:before="81"/>
              <w:ind w:right="1369"/>
              <w:jc w:val="center"/>
              <w:rPr>
                <w:rFonts w:ascii="Verdana" w:hAnsi="Verdana" w:cs="Arial"/>
              </w:rPr>
            </w:pPr>
            <w:r w:rsidRPr="00CD459A">
              <w:rPr>
                <w:rFonts w:ascii="Verdana" w:hAnsi="Verdana" w:cs="Arial"/>
                <w:b/>
              </w:rPr>
              <w:t>GRUPO</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6DBBF41B" w14:textId="77777777" w:rsidR="007C7EF4" w:rsidRPr="00CD459A" w:rsidRDefault="007C7EF4" w:rsidP="003B74CE">
            <w:pPr>
              <w:pStyle w:val="TableParagraph"/>
              <w:spacing w:before="81"/>
              <w:ind w:right="1370"/>
              <w:jc w:val="center"/>
              <w:rPr>
                <w:rFonts w:ascii="Verdana" w:hAnsi="Verdana" w:cs="Arial"/>
              </w:rPr>
            </w:pPr>
            <w:r w:rsidRPr="00CD459A">
              <w:rPr>
                <w:rFonts w:ascii="Verdana" w:hAnsi="Verdana" w:cs="Arial"/>
                <w:b/>
              </w:rPr>
              <w:t>SUBCUENTA</w:t>
            </w:r>
          </w:p>
        </w:tc>
      </w:tr>
      <w:tr w:rsidR="00CD459A" w:rsidRPr="00CD459A" w14:paraId="2E238B76" w14:textId="77777777" w:rsidTr="003B74CE">
        <w:trPr>
          <w:trHeight w:hRule="exact" w:val="40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D812E7F" w14:textId="77777777" w:rsidR="007C7EF4" w:rsidRPr="00CD459A" w:rsidRDefault="007C7EF4" w:rsidP="003B74CE">
            <w:pPr>
              <w:pStyle w:val="TableParagraph"/>
              <w:spacing w:before="81"/>
              <w:ind w:left="103"/>
              <w:jc w:val="both"/>
              <w:rPr>
                <w:rFonts w:ascii="Verdana" w:hAnsi="Verdana" w:cs="Arial"/>
              </w:rPr>
            </w:pPr>
            <w:r w:rsidRPr="00CD459A">
              <w:rPr>
                <w:rFonts w:ascii="Verdana" w:hAnsi="Verdana" w:cs="Arial"/>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0FE1A5FE"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93</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5EA9AB75" w14:textId="77777777" w:rsidR="007C7EF4" w:rsidRPr="00CD459A" w:rsidRDefault="007C7EF4" w:rsidP="003B74CE">
            <w:pPr>
              <w:pStyle w:val="TableParagraph"/>
              <w:spacing w:before="81"/>
              <w:ind w:left="100" w:right="568"/>
              <w:jc w:val="both"/>
              <w:rPr>
                <w:rFonts w:ascii="Verdana" w:hAnsi="Verdana" w:cs="Arial"/>
              </w:rPr>
            </w:pPr>
            <w:r w:rsidRPr="00CD459A">
              <w:rPr>
                <w:rFonts w:ascii="Verdana" w:hAnsi="Verdana" w:cs="Arial"/>
                <w:b/>
              </w:rPr>
              <w:t>937090</w:t>
            </w:r>
          </w:p>
        </w:tc>
      </w:tr>
      <w:tr w:rsidR="00CD459A" w:rsidRPr="00CD459A" w14:paraId="2A2CE25C" w14:textId="77777777" w:rsidTr="003B74CE">
        <w:trPr>
          <w:trHeight w:hRule="exact" w:val="885"/>
        </w:trPr>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A9ED2F" w14:textId="77777777" w:rsidR="007C7EF4" w:rsidRPr="00CD459A" w:rsidRDefault="007C7EF4" w:rsidP="003B74CE">
            <w:pPr>
              <w:pStyle w:val="TableParagraph"/>
              <w:spacing w:before="83"/>
              <w:ind w:left="103" w:right="653"/>
              <w:jc w:val="both"/>
              <w:rPr>
                <w:rFonts w:ascii="Verdana" w:hAnsi="Verdana" w:cs="Arial"/>
              </w:rPr>
            </w:pPr>
            <w:r w:rsidRPr="00CD459A">
              <w:rPr>
                <w:rFonts w:ascii="Verdana" w:hAnsi="Verdana" w:cs="Arial"/>
              </w:rPr>
              <w:t>CUENTAS DE ORDEN ACREEDORAS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5FCEA36" w14:textId="77777777" w:rsidR="007C7EF4" w:rsidRPr="00CD459A" w:rsidRDefault="007C7EF4" w:rsidP="003B74CE">
            <w:pPr>
              <w:pStyle w:val="TableParagraph"/>
              <w:spacing w:before="81"/>
              <w:ind w:left="103" w:right="626"/>
              <w:jc w:val="both"/>
              <w:rPr>
                <w:rFonts w:ascii="Verdana" w:hAnsi="Verdana" w:cs="Arial"/>
              </w:rPr>
            </w:pPr>
            <w:r w:rsidRPr="00CD459A">
              <w:rPr>
                <w:rFonts w:ascii="Verdana" w:hAnsi="Verdana" w:cs="Arial"/>
              </w:rPr>
              <w:t>ACREEDORAS DE</w:t>
            </w:r>
            <w:r w:rsidRPr="00CD459A">
              <w:rPr>
                <w:rFonts w:ascii="Verdana" w:hAnsi="Verdana" w:cs="Arial"/>
                <w:spacing w:val="-10"/>
              </w:rPr>
              <w:t xml:space="preserve"> </w:t>
            </w:r>
            <w:r w:rsidRPr="00CD459A">
              <w:rPr>
                <w:rFonts w:ascii="Verdana" w:hAnsi="Verdana" w:cs="Arial"/>
              </w:rPr>
              <w:t>CONTROL</w:t>
            </w:r>
          </w:p>
        </w:tc>
        <w:tc>
          <w:tcPr>
            <w:tcW w:w="3604" w:type="dxa"/>
            <w:tcBorders>
              <w:top w:val="single" w:sz="4" w:space="0" w:color="000000"/>
              <w:left w:val="single" w:sz="4" w:space="0" w:color="000000"/>
              <w:bottom w:val="single" w:sz="4" w:space="0" w:color="000000"/>
              <w:right w:val="single" w:sz="4" w:space="0" w:color="000000"/>
            </w:tcBorders>
            <w:shd w:val="clear" w:color="auto" w:fill="auto"/>
          </w:tcPr>
          <w:p w14:paraId="72B1CDB1" w14:textId="77777777" w:rsidR="007C7EF4" w:rsidRPr="00CD459A" w:rsidRDefault="007C7EF4" w:rsidP="003B74CE">
            <w:pPr>
              <w:pStyle w:val="TableParagraph"/>
              <w:spacing w:before="80"/>
              <w:ind w:right="254"/>
              <w:jc w:val="both"/>
              <w:rPr>
                <w:rFonts w:ascii="Verdana" w:hAnsi="Verdana" w:cs="Arial"/>
                <w:b/>
                <w:lang w:val="es-CO"/>
              </w:rPr>
            </w:pPr>
            <w:r w:rsidRPr="00CD459A">
              <w:rPr>
                <w:rFonts w:ascii="Verdana" w:hAnsi="Verdana" w:cs="Arial"/>
                <w:b/>
                <w:lang w:val="es-CO"/>
              </w:rPr>
              <w:t>OTRAS REGALÍAS DISTRIBUIDAS CON ELEMENTOS POR IDENTIFICAR</w:t>
            </w:r>
          </w:p>
        </w:tc>
      </w:tr>
    </w:tbl>
    <w:p w14:paraId="16F49BFF" w14:textId="77777777" w:rsidR="007C7EF4" w:rsidRPr="00CD459A" w:rsidRDefault="007C7EF4" w:rsidP="007C7EF4">
      <w:pPr>
        <w:jc w:val="both"/>
        <w:rPr>
          <w:rFonts w:ascii="Verdana" w:hAnsi="Verdana" w:cs="Arial"/>
        </w:rPr>
      </w:pPr>
    </w:p>
    <w:p w14:paraId="41113E6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DESCRIPCIÓN</w:t>
      </w:r>
    </w:p>
    <w:p w14:paraId="4D94F606" w14:textId="77777777" w:rsidR="007C7EF4" w:rsidRPr="00CD459A" w:rsidRDefault="007C7EF4" w:rsidP="007C7EF4">
      <w:pPr>
        <w:suppressLineNumbers/>
        <w:tabs>
          <w:tab w:val="left" w:pos="-720"/>
        </w:tabs>
        <w:ind w:left="284" w:hanging="284"/>
        <w:jc w:val="both"/>
        <w:rPr>
          <w:rFonts w:ascii="Verdana" w:hAnsi="Verdana" w:cs="Arial"/>
        </w:rPr>
      </w:pPr>
    </w:p>
    <w:p w14:paraId="66AF2BE1"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Representa el valor distribuido para los siguientes conceptos, que no tiene los elementos necesarios para causarlos en cuentas patrimoniales, generalmente porque no está identificada la entidad beneficiaria.</w:t>
      </w:r>
    </w:p>
    <w:p w14:paraId="69333F90"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Asignación para la Inversión Regional – Regiones</w:t>
      </w:r>
    </w:p>
    <w:p w14:paraId="6E1A5592"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Pueblos y Comunidades Indígenas - Ambiente y Desarrollo Sostenible</w:t>
      </w:r>
    </w:p>
    <w:p w14:paraId="0351AF37"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Pueblos y Comunidades Indígenas</w:t>
      </w:r>
    </w:p>
    <w:p w14:paraId="6FBB771E"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Comunidades NARP - Ambiente y Desarrollo Sostenible</w:t>
      </w:r>
    </w:p>
    <w:p w14:paraId="05D5A534"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Comunidades NARP</w:t>
      </w:r>
    </w:p>
    <w:p w14:paraId="702F6446"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Pueblo Rrom o Gitano - Ambiente y Desarrollo Sostenible</w:t>
      </w:r>
    </w:p>
    <w:p w14:paraId="6526CDF5"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Pueblo Rrom o Gitano</w:t>
      </w:r>
    </w:p>
    <w:p w14:paraId="1CB82C03" w14:textId="77777777" w:rsidR="007C7EF4" w:rsidRPr="00CD459A" w:rsidRDefault="007C7EF4" w:rsidP="00AB3D96">
      <w:pPr>
        <w:pStyle w:val="Prrafodelista"/>
        <w:numPr>
          <w:ilvl w:val="0"/>
          <w:numId w:val="96"/>
        </w:numPr>
        <w:suppressLineNumbers/>
        <w:tabs>
          <w:tab w:val="left" w:pos="-720"/>
        </w:tabs>
        <w:jc w:val="both"/>
        <w:rPr>
          <w:rFonts w:ascii="Verdana" w:hAnsi="Verdana" w:cs="Arial"/>
        </w:rPr>
      </w:pPr>
      <w:r w:rsidRPr="00CD459A">
        <w:rPr>
          <w:rFonts w:ascii="Verdana" w:hAnsi="Verdana" w:cs="Arial"/>
        </w:rPr>
        <w:t>Asignación Ambiental</w:t>
      </w:r>
    </w:p>
    <w:p w14:paraId="3F2D5D9C" w14:textId="2CE78134"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4A6D0948"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causación de esta subcuenta se realiza por el valor que el Departamento Nacional de Planeación distribuye para cada uno de los conceptos que no tiene los elementos necesarios para causarlos en cuentas patrimoniales.</w:t>
      </w:r>
    </w:p>
    <w:p w14:paraId="5409E04D" w14:textId="77777777" w:rsidR="007C7EF4" w:rsidRPr="00CD459A" w:rsidRDefault="007C7EF4" w:rsidP="007C7EF4">
      <w:pPr>
        <w:suppressLineNumbers/>
        <w:tabs>
          <w:tab w:val="left" w:pos="-720"/>
        </w:tabs>
        <w:jc w:val="both"/>
        <w:rPr>
          <w:rFonts w:ascii="Verdana" w:hAnsi="Verdana" w:cs="Arial"/>
        </w:rPr>
      </w:pPr>
    </w:p>
    <w:p w14:paraId="7BF9C4C5" w14:textId="372CDEEA"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37FEA90F"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Instrucción Abono en cuenta emitida por el Departamento Nacional de Planeación.</w:t>
      </w:r>
    </w:p>
    <w:p w14:paraId="3FA88914" w14:textId="77777777" w:rsidR="007C7EF4" w:rsidRPr="00CD459A" w:rsidRDefault="007C7EF4" w:rsidP="007C7EF4">
      <w:pPr>
        <w:suppressLineNumbers/>
        <w:tabs>
          <w:tab w:val="left" w:pos="-720"/>
        </w:tabs>
        <w:ind w:left="284" w:hanging="284"/>
        <w:jc w:val="both"/>
        <w:rPr>
          <w:rFonts w:ascii="Verdana" w:hAnsi="Verdana" w:cs="Arial"/>
        </w:rPr>
      </w:pPr>
    </w:p>
    <w:p w14:paraId="692DE73B" w14:textId="484C6E36"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210CA03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saldo contable se compara frente a los valores distribuidos por el DNP, por los conceptos que no tienen los elementos necesarios para causarlos en cuentas patrimoniales.</w:t>
      </w:r>
    </w:p>
    <w:p w14:paraId="7C6C543E" w14:textId="77777777" w:rsidR="007C7EF4" w:rsidRPr="00CD459A" w:rsidRDefault="007C7EF4" w:rsidP="007C7EF4">
      <w:pPr>
        <w:suppressLineNumbers/>
        <w:tabs>
          <w:tab w:val="left" w:pos="-720"/>
        </w:tabs>
        <w:ind w:left="284" w:hanging="284"/>
        <w:jc w:val="both"/>
        <w:rPr>
          <w:rFonts w:ascii="Verdana" w:hAnsi="Verdana" w:cs="Arial"/>
        </w:rPr>
      </w:pPr>
    </w:p>
    <w:p w14:paraId="1A0193DE" w14:textId="485471C5"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49926425"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De esta cuenta se revela el valor de las distribuciones y el valor de las redistribuciones. </w:t>
      </w:r>
    </w:p>
    <w:p w14:paraId="1018B7A3" w14:textId="77777777" w:rsidR="007C7EF4" w:rsidRPr="00CD459A" w:rsidRDefault="007C7EF4" w:rsidP="007C7EF4">
      <w:pPr>
        <w:suppressLineNumbers/>
        <w:tabs>
          <w:tab w:val="left" w:pos="-720"/>
        </w:tabs>
        <w:ind w:left="284" w:hanging="284"/>
        <w:jc w:val="both"/>
        <w:rPr>
          <w:rFonts w:ascii="Verdana" w:hAnsi="Verdana" w:cs="Arial"/>
        </w:rPr>
      </w:pPr>
    </w:p>
    <w:p w14:paraId="1F4993A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64B314CF" w14:textId="77777777" w:rsidR="007C7EF4" w:rsidRPr="00CD459A" w:rsidRDefault="007C7EF4" w:rsidP="007C7EF4">
      <w:pPr>
        <w:suppressLineNumbers/>
        <w:tabs>
          <w:tab w:val="left" w:pos="-720"/>
        </w:tabs>
        <w:ind w:left="284" w:hanging="284"/>
        <w:jc w:val="both"/>
        <w:rPr>
          <w:rFonts w:ascii="Verdana" w:hAnsi="Verdana" w:cs="Arial"/>
        </w:rPr>
      </w:pPr>
    </w:p>
    <w:p w14:paraId="4532358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DEBITA CON:</w:t>
      </w:r>
    </w:p>
    <w:p w14:paraId="323D085D" w14:textId="77777777" w:rsidR="007C7EF4" w:rsidRPr="00CD459A" w:rsidRDefault="007C7EF4" w:rsidP="007C7EF4">
      <w:pPr>
        <w:suppressLineNumbers/>
        <w:tabs>
          <w:tab w:val="left" w:pos="-720"/>
        </w:tabs>
        <w:ind w:left="284" w:hanging="284"/>
        <w:jc w:val="both"/>
        <w:rPr>
          <w:rFonts w:ascii="Verdana" w:hAnsi="Verdana" w:cs="Arial"/>
        </w:rPr>
      </w:pPr>
    </w:p>
    <w:p w14:paraId="6A769CB8" w14:textId="77777777" w:rsidR="007C7EF4" w:rsidRPr="00CD459A" w:rsidRDefault="007C7EF4" w:rsidP="00AB3D96">
      <w:pPr>
        <w:pStyle w:val="Prrafodelista"/>
        <w:numPr>
          <w:ilvl w:val="0"/>
          <w:numId w:val="79"/>
        </w:numPr>
        <w:suppressLineNumbers/>
        <w:tabs>
          <w:tab w:val="left" w:pos="-720"/>
        </w:tabs>
        <w:spacing w:line="240" w:lineRule="auto"/>
        <w:jc w:val="both"/>
        <w:rPr>
          <w:rFonts w:ascii="Verdana" w:hAnsi="Verdana" w:cs="Arial"/>
        </w:rPr>
      </w:pPr>
      <w:r w:rsidRPr="00CD459A">
        <w:rPr>
          <w:rFonts w:ascii="Verdana" w:hAnsi="Verdana" w:cs="Arial"/>
        </w:rPr>
        <w:t>El valor de las redistribuciones por los conceptos que no tienen los elementos necesarios para causarlos en cuentas patrimoniales con crédito a la subcuenta 991590 - Otras cuentas acreedoras de control.</w:t>
      </w:r>
    </w:p>
    <w:p w14:paraId="63671CE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SE ACREDITA CON:</w:t>
      </w:r>
    </w:p>
    <w:p w14:paraId="05CBBC02" w14:textId="77777777" w:rsidR="007C7EF4" w:rsidRPr="00CD459A" w:rsidRDefault="007C7EF4" w:rsidP="007C7EF4">
      <w:pPr>
        <w:suppressLineNumbers/>
        <w:tabs>
          <w:tab w:val="left" w:pos="-720"/>
        </w:tabs>
        <w:ind w:left="284" w:hanging="284"/>
        <w:jc w:val="both"/>
        <w:rPr>
          <w:rFonts w:ascii="Verdana" w:hAnsi="Verdana" w:cs="Arial"/>
        </w:rPr>
      </w:pPr>
    </w:p>
    <w:p w14:paraId="73F84B27" w14:textId="77777777" w:rsidR="007C7EF4" w:rsidRPr="00CD459A" w:rsidRDefault="007C7EF4" w:rsidP="00AB3D96">
      <w:pPr>
        <w:pStyle w:val="Prrafodelista"/>
        <w:widowControl w:val="0"/>
        <w:numPr>
          <w:ilvl w:val="0"/>
          <w:numId w:val="79"/>
        </w:numPr>
        <w:autoSpaceDE w:val="0"/>
        <w:autoSpaceDN w:val="0"/>
        <w:adjustRightInd w:val="0"/>
        <w:spacing w:line="240" w:lineRule="auto"/>
        <w:jc w:val="both"/>
        <w:rPr>
          <w:rFonts w:ascii="Verdana" w:hAnsi="Verdana" w:cs="Arial"/>
        </w:rPr>
      </w:pPr>
      <w:r w:rsidRPr="00CD459A">
        <w:rPr>
          <w:rFonts w:ascii="Verdana" w:hAnsi="Verdana" w:cs="Arial"/>
        </w:rPr>
        <w:t>El valor redistribuido por el DNP por los conceptos que no inicialmente no tenían los elementos necesarios para causarlos en cuentas patrimoniales.</w:t>
      </w:r>
    </w:p>
    <w:p w14:paraId="1767FA60" w14:textId="77777777" w:rsidR="007C7EF4" w:rsidRPr="00CD459A" w:rsidRDefault="007C7EF4" w:rsidP="007C7EF4">
      <w:pPr>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4"/>
        <w:gridCol w:w="3413"/>
        <w:gridCol w:w="3482"/>
      </w:tblGrid>
      <w:tr w:rsidR="00CD459A" w:rsidRPr="00CD459A" w14:paraId="1BF10875" w14:textId="77777777" w:rsidTr="003B74CE">
        <w:tc>
          <w:tcPr>
            <w:tcW w:w="1984" w:type="dxa"/>
          </w:tcPr>
          <w:p w14:paraId="0AFCFB3C"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CLASE</w:t>
            </w:r>
          </w:p>
        </w:tc>
        <w:tc>
          <w:tcPr>
            <w:tcW w:w="3413" w:type="dxa"/>
          </w:tcPr>
          <w:p w14:paraId="263EF5C7"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GRUPO</w:t>
            </w:r>
          </w:p>
        </w:tc>
        <w:tc>
          <w:tcPr>
            <w:tcW w:w="3482" w:type="dxa"/>
          </w:tcPr>
          <w:p w14:paraId="5867A9FC"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CUENTA</w:t>
            </w:r>
          </w:p>
        </w:tc>
      </w:tr>
      <w:tr w:rsidR="00CD459A" w:rsidRPr="00CD459A" w14:paraId="46D13B69" w14:textId="77777777" w:rsidTr="003B74CE">
        <w:tc>
          <w:tcPr>
            <w:tcW w:w="1984" w:type="dxa"/>
          </w:tcPr>
          <w:p w14:paraId="08DE372A"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9</w:t>
            </w:r>
          </w:p>
        </w:tc>
        <w:tc>
          <w:tcPr>
            <w:tcW w:w="3413" w:type="dxa"/>
          </w:tcPr>
          <w:p w14:paraId="4FF704BF"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99</w:t>
            </w:r>
          </w:p>
        </w:tc>
        <w:tc>
          <w:tcPr>
            <w:tcW w:w="3482" w:type="dxa"/>
          </w:tcPr>
          <w:p w14:paraId="527DFFF5" w14:textId="77777777" w:rsidR="007C7EF4" w:rsidRPr="00CD459A" w:rsidRDefault="007C7EF4" w:rsidP="003B74CE">
            <w:pPr>
              <w:widowControl w:val="0"/>
              <w:autoSpaceDE w:val="0"/>
              <w:autoSpaceDN w:val="0"/>
              <w:adjustRightInd w:val="0"/>
              <w:jc w:val="both"/>
              <w:rPr>
                <w:rFonts w:ascii="Verdana" w:hAnsi="Verdana" w:cs="Arial"/>
              </w:rPr>
            </w:pPr>
          </w:p>
        </w:tc>
      </w:tr>
      <w:tr w:rsidR="00CD459A" w:rsidRPr="00CD459A" w14:paraId="6170824F" w14:textId="77777777" w:rsidTr="003B74CE">
        <w:tc>
          <w:tcPr>
            <w:tcW w:w="1984" w:type="dxa"/>
          </w:tcPr>
          <w:p w14:paraId="63E10A14"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DE</w:t>
            </w:r>
            <w:r w:rsidRPr="00CD459A">
              <w:rPr>
                <w:rFonts w:ascii="Verdana" w:hAnsi="Verdana" w:cs="Arial"/>
              </w:rPr>
              <w:br/>
              <w:t>ORDEN</w:t>
            </w:r>
            <w:r w:rsidRPr="00CD459A">
              <w:rPr>
                <w:rFonts w:ascii="Verdana" w:hAnsi="Verdana" w:cs="Arial"/>
              </w:rPr>
              <w:br/>
              <w:t>ACREEDORAS</w:t>
            </w:r>
          </w:p>
        </w:tc>
        <w:tc>
          <w:tcPr>
            <w:tcW w:w="3413" w:type="dxa"/>
          </w:tcPr>
          <w:p w14:paraId="4B4C806D" w14:textId="77777777" w:rsidR="007C7EF4" w:rsidRPr="00CD459A" w:rsidRDefault="007C7EF4" w:rsidP="003B74CE">
            <w:pPr>
              <w:widowControl w:val="0"/>
              <w:autoSpaceDE w:val="0"/>
              <w:autoSpaceDN w:val="0"/>
              <w:adjustRightInd w:val="0"/>
              <w:jc w:val="both"/>
              <w:rPr>
                <w:rFonts w:ascii="Verdana" w:hAnsi="Verdana" w:cs="Arial"/>
                <w:bCs/>
              </w:rPr>
            </w:pPr>
            <w:r w:rsidRPr="00CD459A">
              <w:rPr>
                <w:rFonts w:ascii="Verdana" w:hAnsi="Verdana" w:cs="Arial"/>
                <w:bCs/>
              </w:rPr>
              <w:t>ACREEDORAS POR CONTRA (DB)</w:t>
            </w:r>
          </w:p>
        </w:tc>
        <w:tc>
          <w:tcPr>
            <w:tcW w:w="3482" w:type="dxa"/>
          </w:tcPr>
          <w:p w14:paraId="50E7A34C" w14:textId="77777777" w:rsidR="007C7EF4" w:rsidRPr="00CD459A" w:rsidRDefault="007C7EF4" w:rsidP="003B74CE">
            <w:pPr>
              <w:widowControl w:val="0"/>
              <w:autoSpaceDE w:val="0"/>
              <w:autoSpaceDN w:val="0"/>
              <w:adjustRightInd w:val="0"/>
              <w:jc w:val="both"/>
              <w:rPr>
                <w:rFonts w:ascii="Verdana" w:hAnsi="Verdana" w:cs="Arial"/>
              </w:rPr>
            </w:pPr>
          </w:p>
        </w:tc>
      </w:tr>
    </w:tbl>
    <w:p w14:paraId="3443F986" w14:textId="77777777" w:rsidR="007C7EF4" w:rsidRPr="00CD459A" w:rsidRDefault="007C7EF4" w:rsidP="007C7EF4">
      <w:pPr>
        <w:widowControl w:val="0"/>
        <w:autoSpaceDE w:val="0"/>
        <w:autoSpaceDN w:val="0"/>
        <w:adjustRightInd w:val="0"/>
        <w:jc w:val="both"/>
        <w:rPr>
          <w:rFonts w:ascii="Verdana" w:hAnsi="Verdana" w:cs="Arial"/>
        </w:rPr>
      </w:pPr>
    </w:p>
    <w:p w14:paraId="2EC867F1" w14:textId="77777777" w:rsidR="007C7EF4" w:rsidRPr="00CD459A" w:rsidRDefault="007C7EF4" w:rsidP="007C7EF4">
      <w:pPr>
        <w:widowControl w:val="0"/>
        <w:autoSpaceDE w:val="0"/>
        <w:autoSpaceDN w:val="0"/>
        <w:adjustRightInd w:val="0"/>
        <w:jc w:val="both"/>
        <w:rPr>
          <w:rFonts w:ascii="Verdana" w:hAnsi="Verdana" w:cs="Arial"/>
          <w:bCs/>
        </w:rPr>
      </w:pPr>
      <w:r w:rsidRPr="00CD459A">
        <w:rPr>
          <w:rFonts w:ascii="Verdana" w:hAnsi="Verdana" w:cs="Arial"/>
          <w:bCs/>
        </w:rPr>
        <w:t>DESCRIPCIÓN</w:t>
      </w:r>
    </w:p>
    <w:p w14:paraId="59484F5B" w14:textId="77777777" w:rsidR="007C7EF4" w:rsidRPr="00CD459A" w:rsidRDefault="007C7EF4" w:rsidP="007C7EF4">
      <w:pPr>
        <w:widowControl w:val="0"/>
        <w:autoSpaceDE w:val="0"/>
        <w:autoSpaceDN w:val="0"/>
        <w:adjustRightInd w:val="0"/>
        <w:jc w:val="both"/>
        <w:rPr>
          <w:rFonts w:ascii="Verdana" w:hAnsi="Verdana" w:cs="Arial"/>
        </w:rPr>
      </w:pPr>
    </w:p>
    <w:p w14:paraId="461948D9"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En esta denominación, se incluyen las cuentas que registran la contrapartida de las cuentas de orden acreedoras por concepto de pasivos contingentes, acreedoras fiscales y acreedoras de control.</w:t>
      </w:r>
    </w:p>
    <w:p w14:paraId="530C9129" w14:textId="77777777" w:rsidR="007C7EF4" w:rsidRPr="00CD459A" w:rsidRDefault="007C7EF4" w:rsidP="007C7EF4">
      <w:pPr>
        <w:suppressLineNumbers/>
        <w:tabs>
          <w:tab w:val="left" w:pos="-720"/>
        </w:tabs>
        <w:ind w:left="284" w:hanging="284"/>
        <w:jc w:val="both"/>
        <w:rPr>
          <w:rFonts w:ascii="Verdana" w:hAnsi="Verdana" w:cs="Arial"/>
        </w:rPr>
      </w:pPr>
    </w:p>
    <w:p w14:paraId="2429B40D" w14:textId="77777777" w:rsidR="007C7EF4" w:rsidRPr="00CD459A" w:rsidRDefault="007C7EF4" w:rsidP="007C7EF4">
      <w:pPr>
        <w:widowControl w:val="0"/>
        <w:autoSpaceDE w:val="0"/>
        <w:autoSpaceDN w:val="0"/>
        <w:adjustRightInd w:val="0"/>
        <w:jc w:val="both"/>
        <w:rPr>
          <w:rFonts w:ascii="Verdana" w:hAnsi="Verdana" w:cs="Arial"/>
        </w:rPr>
      </w:pPr>
      <w:r w:rsidRPr="00CD459A">
        <w:rPr>
          <w:rFonts w:ascii="Verdana" w:hAnsi="Verdana" w:cs="Arial"/>
        </w:rPr>
        <w:t xml:space="preserve">REFERENCIA A MARCO NORMATIVO DE ENTIDADES DE GOBIERNO </w:t>
      </w:r>
    </w:p>
    <w:p w14:paraId="6EED2E9C" w14:textId="77777777" w:rsidR="007C7EF4" w:rsidRPr="00CD459A" w:rsidRDefault="007C7EF4" w:rsidP="007C7EF4">
      <w:pPr>
        <w:jc w:val="both"/>
        <w:rPr>
          <w:rFonts w:ascii="Verdana" w:hAnsi="Verdana" w:cs="Arial"/>
          <w:b/>
          <w:lang w:val="es-ES_tradnl" w:eastAsia="es-CO"/>
        </w:rPr>
      </w:pPr>
    </w:p>
    <w:tbl>
      <w:tblPr>
        <w:tblW w:w="0" w:type="auto"/>
        <w:jc w:val="center"/>
        <w:tblBorders>
          <w:bottom w:val="single" w:sz="12" w:space="0" w:color="000000"/>
        </w:tblBorders>
        <w:tblLook w:val="0420" w:firstRow="1" w:lastRow="0" w:firstColumn="0" w:lastColumn="0" w:noHBand="0" w:noVBand="1"/>
      </w:tblPr>
      <w:tblGrid>
        <w:gridCol w:w="4635"/>
        <w:gridCol w:w="4203"/>
      </w:tblGrid>
      <w:tr w:rsidR="00CD459A" w:rsidRPr="00CD459A" w14:paraId="3FAF8924" w14:textId="77777777" w:rsidTr="003B74CE">
        <w:trPr>
          <w:jc w:val="center"/>
        </w:trPr>
        <w:tc>
          <w:tcPr>
            <w:tcW w:w="4678" w:type="dxa"/>
            <w:tcBorders>
              <w:bottom w:val="single" w:sz="12" w:space="0" w:color="000000"/>
            </w:tcBorders>
            <w:shd w:val="solid" w:color="2F5395" w:fill="FFFFFF"/>
          </w:tcPr>
          <w:p w14:paraId="1C221959"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MARCO NORMATIVO ENTIDADES DE GOBIERNO</w:t>
            </w:r>
          </w:p>
        </w:tc>
        <w:tc>
          <w:tcPr>
            <w:tcW w:w="4232" w:type="dxa"/>
            <w:tcBorders>
              <w:bottom w:val="single" w:sz="12" w:space="0" w:color="000000"/>
            </w:tcBorders>
            <w:shd w:val="solid" w:color="2F5395" w:fill="FFFFFF"/>
          </w:tcPr>
          <w:p w14:paraId="63333CC7"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DENOMINACIÓN</w:t>
            </w:r>
          </w:p>
        </w:tc>
      </w:tr>
      <w:tr w:rsidR="00CD459A" w:rsidRPr="00CD459A" w14:paraId="3326424B" w14:textId="77777777" w:rsidTr="003B74CE">
        <w:trPr>
          <w:jc w:val="center"/>
        </w:trPr>
        <w:tc>
          <w:tcPr>
            <w:tcW w:w="4678" w:type="dxa"/>
            <w:tcBorders>
              <w:top w:val="single" w:sz="12" w:space="0" w:color="000000"/>
              <w:bottom w:val="single" w:sz="12" w:space="0" w:color="000000"/>
            </w:tcBorders>
            <w:shd w:val="pct20" w:color="FFFFFF" w:fill="FFFFFF"/>
            <w:vAlign w:val="center"/>
          </w:tcPr>
          <w:p w14:paraId="4C2D04AA"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 xml:space="preserve">Catálogo General de Cuentas (CGC) </w:t>
            </w:r>
          </w:p>
        </w:tc>
        <w:tc>
          <w:tcPr>
            <w:tcW w:w="4232" w:type="dxa"/>
            <w:tcBorders>
              <w:top w:val="single" w:sz="12" w:space="0" w:color="000000"/>
              <w:bottom w:val="single" w:sz="12" w:space="0" w:color="000000"/>
            </w:tcBorders>
            <w:shd w:val="pct20" w:color="FFFFFF" w:fill="FFFFFF"/>
            <w:vAlign w:val="center"/>
          </w:tcPr>
          <w:p w14:paraId="7618DEBF" w14:textId="77777777" w:rsidR="007C7EF4" w:rsidRPr="00CD459A" w:rsidRDefault="007C7EF4" w:rsidP="00AB3D96">
            <w:pPr>
              <w:numPr>
                <w:ilvl w:val="0"/>
                <w:numId w:val="94"/>
              </w:numPr>
              <w:spacing w:after="0" w:line="240" w:lineRule="auto"/>
              <w:jc w:val="both"/>
              <w:rPr>
                <w:rFonts w:ascii="Verdana" w:hAnsi="Verdana" w:cs="Arial"/>
                <w:lang w:val="es-ES_tradnl" w:eastAsia="es-CO"/>
              </w:rPr>
            </w:pPr>
            <w:r w:rsidRPr="00CD459A">
              <w:rPr>
                <w:rFonts w:ascii="Verdana" w:hAnsi="Verdana" w:cs="Arial"/>
                <w:lang w:val="es-ES_tradnl" w:eastAsia="es-CO"/>
              </w:rPr>
              <w:t>Grupo 93 – Acreedoras por el contrario (DB)</w:t>
            </w:r>
          </w:p>
        </w:tc>
      </w:tr>
    </w:tbl>
    <w:p w14:paraId="5DCA094B" w14:textId="77777777" w:rsidR="007C7EF4" w:rsidRPr="00CD459A" w:rsidRDefault="007C7EF4" w:rsidP="007C7EF4">
      <w:pPr>
        <w:widowControl w:val="0"/>
        <w:autoSpaceDE w:val="0"/>
        <w:autoSpaceDN w:val="0"/>
        <w:adjustRightInd w:val="0"/>
        <w:jc w:val="both"/>
        <w:rPr>
          <w:rFonts w:ascii="Verdana" w:hAnsi="Verdana" w:cs="Arial"/>
          <w:lang w:val="es-ES_tradnl" w:eastAsia="es-CO"/>
        </w:rPr>
      </w:pPr>
    </w:p>
    <w:p w14:paraId="2AD3581E" w14:textId="77777777" w:rsidR="007C7EF4" w:rsidRPr="00CD459A" w:rsidRDefault="007C7EF4" w:rsidP="007C7EF4">
      <w:pPr>
        <w:jc w:val="both"/>
        <w:rPr>
          <w:rFonts w:ascii="Verdana" w:hAnsi="Verdana" w:cs="Arial"/>
          <w:lang w:val="es-ES_tradnl" w:eastAsia="es-CO"/>
        </w:rPr>
      </w:pPr>
      <w:r w:rsidRPr="00CD459A">
        <w:rPr>
          <w:rFonts w:ascii="Verdana" w:hAnsi="Verdana" w:cs="Arial"/>
          <w:lang w:val="es-ES_tradnl" w:eastAsia="es-CO"/>
        </w:rPr>
        <w:t xml:space="preserve">ÁREAS O PROCESOS INVOLUCRADOS EN LA APLICACIÓN DE LA POLÍTICA </w:t>
      </w:r>
    </w:p>
    <w:p w14:paraId="08E83086" w14:textId="77777777" w:rsidR="007C7EF4" w:rsidRPr="00CD459A" w:rsidRDefault="007C7EF4" w:rsidP="007C7EF4">
      <w:pPr>
        <w:jc w:val="both"/>
        <w:rPr>
          <w:rFonts w:ascii="Verdana" w:hAnsi="Verdana" w:cs="Arial"/>
          <w:b/>
          <w:lang w:val="es-ES_tradnl" w:eastAsia="es-CO"/>
        </w:rPr>
      </w:pPr>
    </w:p>
    <w:p w14:paraId="4E9A2BF1" w14:textId="77777777" w:rsidR="007C7EF4" w:rsidRPr="00CD459A" w:rsidRDefault="007C7EF4" w:rsidP="007C7EF4">
      <w:pPr>
        <w:jc w:val="both"/>
        <w:rPr>
          <w:rFonts w:ascii="Verdana" w:hAnsi="Verdana" w:cs="Arial"/>
          <w:lang w:val="es-ES_tradnl"/>
        </w:rPr>
      </w:pPr>
      <w:r w:rsidRPr="00CD459A">
        <w:rPr>
          <w:rFonts w:ascii="Verdana" w:hAnsi="Verdana" w:cs="Arial"/>
          <w:lang w:val="es-ES_tradnl" w:eastAsia="es-CO"/>
        </w:rPr>
        <w:t>La adecuada aplicación de esta política será responsabilidad del área, áreas o entidades que producen información. Sin embargo, el Grupo de Contabilidad del SGR, se encargará de registrar según lo reportado por el área o áreas generadoras de información. Para tal efecto, se tendrá en cuenta lo definido en el presente Manual, y demás</w:t>
      </w:r>
      <w:r w:rsidRPr="00CD459A">
        <w:rPr>
          <w:rFonts w:ascii="Verdana" w:hAnsi="Verdana" w:cs="Arial"/>
          <w:i/>
          <w:lang w:val="es-ES_tradnl" w:eastAsia="es-CO"/>
        </w:rPr>
        <w:t xml:space="preserve"> </w:t>
      </w:r>
      <w:r w:rsidRPr="00CD459A">
        <w:rPr>
          <w:rFonts w:ascii="Verdana" w:hAnsi="Verdana" w:cs="Arial"/>
          <w:lang w:val="es-ES_tradnl"/>
        </w:rPr>
        <w:t xml:space="preserve">documentos que establecen la operatividad del proceso contable. </w:t>
      </w:r>
    </w:p>
    <w:p w14:paraId="0B949D49" w14:textId="77777777" w:rsidR="007C7EF4" w:rsidRPr="00CD459A" w:rsidRDefault="007C7EF4" w:rsidP="007C7EF4">
      <w:pPr>
        <w:jc w:val="both"/>
        <w:rPr>
          <w:rFonts w:ascii="Verdana" w:hAnsi="Verdana" w:cs="Arial"/>
          <w:lang w:val="es-ES_tradnl"/>
        </w:rPr>
      </w:pPr>
    </w:p>
    <w:tbl>
      <w:tblPr>
        <w:tblW w:w="0" w:type="auto"/>
        <w:jc w:val="center"/>
        <w:tblBorders>
          <w:bottom w:val="single" w:sz="12" w:space="0" w:color="000000"/>
        </w:tblBorders>
        <w:tblLook w:val="0420" w:firstRow="1" w:lastRow="0" w:firstColumn="0" w:lastColumn="0" w:noHBand="0" w:noVBand="1"/>
      </w:tblPr>
      <w:tblGrid>
        <w:gridCol w:w="3316"/>
        <w:gridCol w:w="5522"/>
      </w:tblGrid>
      <w:tr w:rsidR="00CD459A" w:rsidRPr="00CD459A" w14:paraId="796B1E34" w14:textId="77777777" w:rsidTr="003B74CE">
        <w:trPr>
          <w:jc w:val="center"/>
        </w:trPr>
        <w:tc>
          <w:tcPr>
            <w:tcW w:w="3317" w:type="dxa"/>
            <w:tcBorders>
              <w:bottom w:val="single" w:sz="12" w:space="0" w:color="000000"/>
            </w:tcBorders>
            <w:shd w:val="solid" w:color="2F5395" w:fill="FFFFFF"/>
          </w:tcPr>
          <w:p w14:paraId="5F62C01A"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ÁREA</w:t>
            </w:r>
          </w:p>
        </w:tc>
        <w:tc>
          <w:tcPr>
            <w:tcW w:w="5523" w:type="dxa"/>
            <w:tcBorders>
              <w:bottom w:val="single" w:sz="12" w:space="0" w:color="000000"/>
            </w:tcBorders>
            <w:shd w:val="solid" w:color="2F5395" w:fill="FFFFFF"/>
          </w:tcPr>
          <w:p w14:paraId="6A708354" w14:textId="77777777" w:rsidR="007C7EF4" w:rsidRPr="00CD459A" w:rsidRDefault="007C7EF4" w:rsidP="003B74CE">
            <w:pPr>
              <w:jc w:val="both"/>
              <w:rPr>
                <w:rFonts w:ascii="Verdana" w:hAnsi="Verdana" w:cs="Arial"/>
                <w:b/>
                <w:bCs/>
                <w:iCs/>
                <w:lang w:val="es-ES_tradnl" w:eastAsia="es-CO"/>
              </w:rPr>
            </w:pPr>
            <w:r w:rsidRPr="00CD459A">
              <w:rPr>
                <w:rFonts w:ascii="Verdana" w:hAnsi="Verdana" w:cs="Arial"/>
                <w:b/>
                <w:bCs/>
                <w:iCs/>
                <w:lang w:val="es-ES_tradnl" w:eastAsia="es-CO"/>
              </w:rPr>
              <w:t>ACTIVIDAD</w:t>
            </w:r>
          </w:p>
        </w:tc>
      </w:tr>
      <w:tr w:rsidR="00CD459A" w:rsidRPr="00CD459A" w14:paraId="14F2E618"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1D72B84A" w14:textId="77777777" w:rsidR="007C7EF4" w:rsidRPr="00CD459A" w:rsidRDefault="007C7EF4" w:rsidP="003B74CE">
            <w:pPr>
              <w:jc w:val="both"/>
              <w:rPr>
                <w:rFonts w:ascii="Verdana" w:hAnsi="Verdana" w:cs="Arial"/>
                <w:lang w:val="es-ES_tradnl" w:eastAsia="es-CO"/>
              </w:rPr>
            </w:pPr>
            <w:r w:rsidRPr="00CD459A">
              <w:rPr>
                <w:rFonts w:ascii="Verdana" w:hAnsi="Verdana" w:cs="Arial"/>
                <w:bCs/>
                <w:kern w:val="32"/>
                <w:lang w:val="es-ES_tradnl"/>
              </w:rPr>
              <w:t xml:space="preserve">Departamento Nacional de Planeación  </w:t>
            </w:r>
          </w:p>
        </w:tc>
        <w:tc>
          <w:tcPr>
            <w:tcW w:w="5523" w:type="dxa"/>
            <w:tcBorders>
              <w:top w:val="single" w:sz="12" w:space="0" w:color="000000"/>
              <w:bottom w:val="single" w:sz="12" w:space="0" w:color="000000"/>
            </w:tcBorders>
            <w:shd w:val="pct20" w:color="FFFFFF" w:fill="FFFFFF"/>
            <w:vAlign w:val="center"/>
          </w:tcPr>
          <w:p w14:paraId="5514AB0D" w14:textId="77777777" w:rsidR="007C7EF4" w:rsidRPr="00CD459A" w:rsidRDefault="007C7EF4" w:rsidP="00AB3D96">
            <w:pPr>
              <w:numPr>
                <w:ilvl w:val="0"/>
                <w:numId w:val="92"/>
              </w:numPr>
              <w:spacing w:after="0" w:line="240" w:lineRule="auto"/>
              <w:jc w:val="both"/>
              <w:rPr>
                <w:rFonts w:ascii="Verdana" w:hAnsi="Verdana" w:cs="Arial"/>
                <w:bCs/>
                <w:lang w:val="es-ES_tradnl" w:eastAsia="es-CO"/>
              </w:rPr>
            </w:pPr>
            <w:r w:rsidRPr="00CD459A">
              <w:rPr>
                <w:rFonts w:ascii="Verdana" w:hAnsi="Verdana" w:cs="Arial"/>
                <w:bCs/>
                <w:lang w:val="es-ES_tradnl"/>
              </w:rPr>
              <w:t>Generar y Cargar en el SPGR, las Instrucciones de Abono en Cuenta, redistribuciones y demás distribuciones a las que haya lugar.</w:t>
            </w:r>
          </w:p>
        </w:tc>
      </w:tr>
      <w:tr w:rsidR="00CD459A" w:rsidRPr="00CD459A" w14:paraId="4D902553" w14:textId="77777777" w:rsidTr="003B74CE">
        <w:trPr>
          <w:jc w:val="center"/>
        </w:trPr>
        <w:tc>
          <w:tcPr>
            <w:tcW w:w="3317" w:type="dxa"/>
            <w:tcBorders>
              <w:top w:val="single" w:sz="12" w:space="0" w:color="000000"/>
              <w:bottom w:val="single" w:sz="12" w:space="0" w:color="000000"/>
            </w:tcBorders>
            <w:shd w:val="pct20" w:color="FFFFFF" w:fill="FFFFFF"/>
            <w:vAlign w:val="center"/>
          </w:tcPr>
          <w:p w14:paraId="4571EE6D" w14:textId="77777777" w:rsidR="007C7EF4" w:rsidRPr="00CD459A" w:rsidRDefault="007C7EF4" w:rsidP="003B74CE">
            <w:pPr>
              <w:jc w:val="both"/>
              <w:rPr>
                <w:rFonts w:ascii="Verdana" w:hAnsi="Verdana" w:cs="Arial"/>
                <w:bCs/>
                <w:kern w:val="32"/>
                <w:lang w:val="es-ES_tradnl"/>
              </w:rPr>
            </w:pPr>
            <w:r w:rsidRPr="00CD459A">
              <w:rPr>
                <w:rFonts w:ascii="Verdana" w:hAnsi="Verdana" w:cs="Arial"/>
                <w:bCs/>
                <w:kern w:val="32"/>
                <w:lang w:val="es-ES_tradnl"/>
              </w:rPr>
              <w:t>Grupo de Contabilidad SGR</w:t>
            </w:r>
          </w:p>
        </w:tc>
        <w:tc>
          <w:tcPr>
            <w:tcW w:w="5523" w:type="dxa"/>
            <w:tcBorders>
              <w:top w:val="single" w:sz="12" w:space="0" w:color="000000"/>
              <w:bottom w:val="single" w:sz="12" w:space="0" w:color="000000"/>
            </w:tcBorders>
            <w:shd w:val="pct20" w:color="FFFFFF" w:fill="FFFFFF"/>
            <w:vAlign w:val="center"/>
          </w:tcPr>
          <w:p w14:paraId="3ED49EEB"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eastAsia="es-CO"/>
              </w:rPr>
            </w:pPr>
            <w:r w:rsidRPr="00CD459A">
              <w:rPr>
                <w:rFonts w:ascii="Verdana" w:hAnsi="Verdana" w:cs="Arial"/>
                <w:bCs/>
                <w:lang w:val="es-ES_tradnl" w:eastAsia="es-CO"/>
              </w:rPr>
              <w:t xml:space="preserve">Conciliar y depurar las partidas de las cuentas Acreedoras de Control. </w:t>
            </w:r>
          </w:p>
          <w:p w14:paraId="7DE1769B" w14:textId="77777777" w:rsidR="007C7EF4" w:rsidRPr="00CD459A" w:rsidRDefault="007C7EF4" w:rsidP="00AB3D96">
            <w:pPr>
              <w:numPr>
                <w:ilvl w:val="0"/>
                <w:numId w:val="91"/>
              </w:numPr>
              <w:spacing w:after="0" w:line="240" w:lineRule="auto"/>
              <w:ind w:left="317" w:hanging="279"/>
              <w:jc w:val="both"/>
              <w:rPr>
                <w:rFonts w:ascii="Verdana" w:hAnsi="Verdana" w:cs="Arial"/>
                <w:bCs/>
                <w:lang w:val="es-ES_tradnl"/>
              </w:rPr>
            </w:pPr>
            <w:r w:rsidRPr="00CD459A">
              <w:rPr>
                <w:rFonts w:ascii="Verdana" w:hAnsi="Verdana" w:cs="Arial"/>
                <w:bCs/>
                <w:lang w:val="es-ES_tradnl"/>
              </w:rPr>
              <w:t>Recibir la información del DNP para realizar el registro, medición y revelación contable correspondiente.</w:t>
            </w:r>
          </w:p>
        </w:tc>
      </w:tr>
    </w:tbl>
    <w:p w14:paraId="2DF4B54C" w14:textId="77777777" w:rsidR="007C7EF4" w:rsidRPr="00CD459A" w:rsidRDefault="007C7EF4" w:rsidP="007C7EF4">
      <w:pPr>
        <w:suppressLineNumbers/>
        <w:tabs>
          <w:tab w:val="left" w:pos="-720"/>
        </w:tabs>
        <w:ind w:left="284" w:hanging="284"/>
        <w:jc w:val="both"/>
        <w:rPr>
          <w:rFonts w:ascii="Verdana" w:hAnsi="Verdana" w:cs="Arial"/>
        </w:rPr>
      </w:pPr>
    </w:p>
    <w:p w14:paraId="1FDBFDC7" w14:textId="77777777" w:rsidR="007C7EF4" w:rsidRPr="00CD459A" w:rsidRDefault="007C7EF4" w:rsidP="007C7EF4">
      <w:pPr>
        <w:suppressLineNumbers/>
        <w:tabs>
          <w:tab w:val="left" w:pos="-720"/>
        </w:tabs>
        <w:ind w:left="284" w:hanging="284"/>
        <w:jc w:val="both"/>
        <w:rPr>
          <w:rFonts w:ascii="Verdana" w:hAnsi="Verdana" w:cs="Arial"/>
        </w:rPr>
      </w:pP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05"/>
        <w:gridCol w:w="2410"/>
        <w:gridCol w:w="4064"/>
      </w:tblGrid>
      <w:tr w:rsidR="00CD459A" w:rsidRPr="00CD459A" w14:paraId="3A87BD57" w14:textId="77777777" w:rsidTr="003B74CE">
        <w:trPr>
          <w:trHeight w:val="354"/>
        </w:trPr>
        <w:tc>
          <w:tcPr>
            <w:tcW w:w="2405" w:type="dxa"/>
          </w:tcPr>
          <w:p w14:paraId="55A3749D"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CLASE</w:t>
            </w:r>
          </w:p>
        </w:tc>
        <w:tc>
          <w:tcPr>
            <w:tcW w:w="2410" w:type="dxa"/>
          </w:tcPr>
          <w:p w14:paraId="7ABD8326"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GRUPO</w:t>
            </w:r>
          </w:p>
        </w:tc>
        <w:tc>
          <w:tcPr>
            <w:tcW w:w="4064" w:type="dxa"/>
          </w:tcPr>
          <w:p w14:paraId="535D3A05" w14:textId="77777777" w:rsidR="007C7EF4" w:rsidRPr="00CD459A" w:rsidRDefault="007C7EF4" w:rsidP="003B74CE">
            <w:pPr>
              <w:widowControl w:val="0"/>
              <w:autoSpaceDE w:val="0"/>
              <w:autoSpaceDN w:val="0"/>
              <w:adjustRightInd w:val="0"/>
              <w:jc w:val="center"/>
              <w:rPr>
                <w:rFonts w:ascii="Verdana" w:hAnsi="Verdana" w:cs="Arial"/>
                <w:b/>
                <w:bCs/>
              </w:rPr>
            </w:pPr>
            <w:r w:rsidRPr="00CD459A">
              <w:rPr>
                <w:rFonts w:ascii="Verdana" w:hAnsi="Verdana" w:cs="Arial"/>
                <w:b/>
                <w:bCs/>
              </w:rPr>
              <w:t>SUBCUENTA</w:t>
            </w:r>
          </w:p>
        </w:tc>
      </w:tr>
      <w:tr w:rsidR="00CD459A" w:rsidRPr="00CD459A" w14:paraId="246E95F0" w14:textId="77777777" w:rsidTr="003B74CE">
        <w:trPr>
          <w:trHeight w:val="333"/>
        </w:trPr>
        <w:tc>
          <w:tcPr>
            <w:tcW w:w="2405" w:type="dxa"/>
          </w:tcPr>
          <w:p w14:paraId="04777F30"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9</w:t>
            </w:r>
          </w:p>
        </w:tc>
        <w:tc>
          <w:tcPr>
            <w:tcW w:w="2410" w:type="dxa"/>
          </w:tcPr>
          <w:p w14:paraId="7756F9F9"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99</w:t>
            </w:r>
          </w:p>
        </w:tc>
        <w:tc>
          <w:tcPr>
            <w:tcW w:w="4064" w:type="dxa"/>
          </w:tcPr>
          <w:p w14:paraId="5EC0C5BC" w14:textId="77777777" w:rsidR="007C7EF4" w:rsidRPr="00CD459A" w:rsidRDefault="007C7EF4" w:rsidP="003B74CE">
            <w:pPr>
              <w:widowControl w:val="0"/>
              <w:autoSpaceDE w:val="0"/>
              <w:autoSpaceDN w:val="0"/>
              <w:adjustRightInd w:val="0"/>
              <w:jc w:val="both"/>
              <w:rPr>
                <w:rFonts w:ascii="Verdana" w:hAnsi="Verdana" w:cs="Arial"/>
                <w:b/>
                <w:bCs/>
              </w:rPr>
            </w:pPr>
            <w:r w:rsidRPr="00CD459A">
              <w:rPr>
                <w:rFonts w:ascii="Verdana" w:hAnsi="Verdana" w:cs="Arial"/>
                <w:b/>
                <w:bCs/>
              </w:rPr>
              <w:t>991534</w:t>
            </w:r>
          </w:p>
        </w:tc>
      </w:tr>
      <w:tr w:rsidR="00CD459A" w:rsidRPr="00CD459A" w14:paraId="313F515F" w14:textId="77777777" w:rsidTr="003B74CE">
        <w:trPr>
          <w:trHeight w:val="97"/>
        </w:trPr>
        <w:tc>
          <w:tcPr>
            <w:tcW w:w="2405" w:type="dxa"/>
          </w:tcPr>
          <w:p w14:paraId="417AED75"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CUENTAS DE ORDEN ACREEDORAS</w:t>
            </w:r>
          </w:p>
        </w:tc>
        <w:tc>
          <w:tcPr>
            <w:tcW w:w="2410" w:type="dxa"/>
          </w:tcPr>
          <w:p w14:paraId="23F4701B" w14:textId="77777777" w:rsidR="007C7EF4" w:rsidRPr="00CD459A" w:rsidRDefault="007C7EF4" w:rsidP="003B74CE">
            <w:pPr>
              <w:widowControl w:val="0"/>
              <w:autoSpaceDE w:val="0"/>
              <w:autoSpaceDN w:val="0"/>
              <w:adjustRightInd w:val="0"/>
              <w:jc w:val="both"/>
              <w:rPr>
                <w:rFonts w:ascii="Verdana" w:hAnsi="Verdana" w:cs="Arial"/>
              </w:rPr>
            </w:pPr>
            <w:r w:rsidRPr="00CD459A">
              <w:rPr>
                <w:rFonts w:ascii="Verdana" w:hAnsi="Verdana" w:cs="Arial"/>
              </w:rPr>
              <w:t>ACREEDORAS POR CONTRA (DB)</w:t>
            </w:r>
          </w:p>
        </w:tc>
        <w:tc>
          <w:tcPr>
            <w:tcW w:w="4064" w:type="dxa"/>
          </w:tcPr>
          <w:p w14:paraId="737D8409" w14:textId="77777777" w:rsidR="007C7EF4" w:rsidRPr="00CD459A" w:rsidRDefault="007C7EF4" w:rsidP="003B74CE">
            <w:pPr>
              <w:widowControl w:val="0"/>
              <w:autoSpaceDE w:val="0"/>
              <w:autoSpaceDN w:val="0"/>
              <w:adjustRightInd w:val="0"/>
              <w:jc w:val="both"/>
              <w:rPr>
                <w:rFonts w:ascii="Verdana" w:hAnsi="Verdana" w:cs="Arial"/>
                <w:b/>
                <w:bCs/>
              </w:rPr>
            </w:pPr>
            <w:r w:rsidRPr="00CD459A">
              <w:rPr>
                <w:rFonts w:ascii="Verdana" w:hAnsi="Verdana" w:cs="Arial"/>
                <w:b/>
                <w:bCs/>
              </w:rPr>
              <w:t xml:space="preserve">REGALIAS DISTRIBUIDAS PENDIENTES DE ASIGNAR </w:t>
            </w:r>
          </w:p>
        </w:tc>
      </w:tr>
    </w:tbl>
    <w:p w14:paraId="652165FA" w14:textId="77777777" w:rsidR="007C7EF4" w:rsidRPr="00CD459A" w:rsidRDefault="007C7EF4" w:rsidP="007C7EF4">
      <w:pPr>
        <w:suppressLineNumbers/>
        <w:tabs>
          <w:tab w:val="left" w:pos="-720"/>
        </w:tabs>
        <w:ind w:left="284" w:hanging="284"/>
        <w:jc w:val="both"/>
        <w:rPr>
          <w:rFonts w:ascii="Verdana" w:hAnsi="Verdana" w:cs="Arial"/>
        </w:rPr>
      </w:pPr>
    </w:p>
    <w:p w14:paraId="6171FB65" w14:textId="359C4D40"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DESCRIPCIÓN</w:t>
      </w:r>
    </w:p>
    <w:p w14:paraId="6CC64CDF"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 xml:space="preserve">Representa el valor distribuido para el Fondo de Desarrollo Regional – Compensación de Asignaciones Directas que no ha sido redistribuido para los terceros beneficiarios de asignaciones directas, el valor distribuido no girado para el Fondo de Ahorro y Estabilización – FAE, el valor distribuido no girado para asignaciones directas, el valor distribuido no asignado para proyectos de asignación Paz, el valor distribuido no girado para Fiscalización del SGR, el valor distribuido no girado para Funcionamiento del SGR, y los demás conceptos distribuidos no girados. </w:t>
      </w:r>
    </w:p>
    <w:p w14:paraId="0E7FF888" w14:textId="77777777" w:rsidR="007C7EF4" w:rsidRPr="00CD459A" w:rsidRDefault="007C7EF4" w:rsidP="007C7EF4">
      <w:pPr>
        <w:suppressLineNumbers/>
        <w:tabs>
          <w:tab w:val="left" w:pos="-720"/>
        </w:tabs>
        <w:ind w:left="284" w:hanging="284"/>
        <w:jc w:val="both"/>
        <w:rPr>
          <w:rFonts w:ascii="Verdana" w:hAnsi="Verdana" w:cs="Arial"/>
        </w:rPr>
      </w:pPr>
    </w:p>
    <w:p w14:paraId="44D09F5C" w14:textId="43127196" w:rsidR="007C7EF4" w:rsidRPr="00CD459A" w:rsidRDefault="007C7EF4" w:rsidP="00CD459A">
      <w:pPr>
        <w:suppressLineNumbers/>
        <w:tabs>
          <w:tab w:val="left" w:pos="-720"/>
          <w:tab w:val="left" w:pos="2842"/>
        </w:tabs>
        <w:ind w:left="284" w:hanging="284"/>
        <w:jc w:val="both"/>
        <w:rPr>
          <w:rFonts w:ascii="Verdana" w:hAnsi="Verdana" w:cs="Arial"/>
        </w:rPr>
      </w:pPr>
      <w:r w:rsidRPr="00CD459A">
        <w:rPr>
          <w:rFonts w:ascii="Verdana" w:hAnsi="Verdana" w:cs="Arial"/>
        </w:rPr>
        <w:t>MEDICIÓN</w:t>
      </w:r>
    </w:p>
    <w:p w14:paraId="127E59D3" w14:textId="77777777" w:rsidR="007C7EF4" w:rsidRPr="00CD459A" w:rsidRDefault="007C7EF4" w:rsidP="007C7EF4">
      <w:pPr>
        <w:suppressLineNumbers/>
        <w:tabs>
          <w:tab w:val="left" w:pos="-720"/>
        </w:tabs>
        <w:jc w:val="both"/>
        <w:rPr>
          <w:rFonts w:ascii="Verdana" w:hAnsi="Verdana" w:cs="Arial"/>
        </w:rPr>
      </w:pPr>
      <w:r w:rsidRPr="00CD459A">
        <w:rPr>
          <w:rFonts w:ascii="Verdana" w:hAnsi="Verdana" w:cs="Arial"/>
        </w:rPr>
        <w:t>El valor de la causación de esta subcuenta se realiza por el valor que el Departamento Nacional de Planeación distribuye para el Fondo de Desarrollo Regional – Compensación de Asignaciones Directas, el Fondo de Ahorro y Estabilización – FAE, Asignaciones Directas, Asignación para la Paz, Fiscalización del SGR, Funcionamiento del SGR  y para los demás conceptos no mencionados, las desafectaciones por el valor redistribuido a los beneficiarios de asignaciones directas, por el valor girado al Fondo de Ahorro y Estabilización – FAE, valor girado por concepto de Asignaciones Directas, valor girado por concepto de Fiscalización del SGR, valor girado por concepto de Funcionamiento del SGR, por el valor de los proyectos aprobados con cargo a recursos de Asignación PAZ.</w:t>
      </w:r>
    </w:p>
    <w:p w14:paraId="1448BF7C" w14:textId="77777777" w:rsidR="007C7EF4" w:rsidRPr="00CD459A" w:rsidRDefault="007C7EF4" w:rsidP="007C7EF4">
      <w:pPr>
        <w:suppressLineNumbers/>
        <w:tabs>
          <w:tab w:val="left" w:pos="-720"/>
        </w:tabs>
        <w:jc w:val="both"/>
        <w:rPr>
          <w:rFonts w:ascii="Verdana" w:hAnsi="Verdana" w:cs="Arial"/>
        </w:rPr>
      </w:pPr>
    </w:p>
    <w:p w14:paraId="45E6A4A1" w14:textId="77777777" w:rsidR="007C7EF4" w:rsidRPr="00CD459A" w:rsidRDefault="007C7EF4" w:rsidP="007C7EF4">
      <w:pPr>
        <w:suppressLineNumbers/>
        <w:tabs>
          <w:tab w:val="left" w:pos="-720"/>
        </w:tabs>
        <w:ind w:left="284" w:hanging="284"/>
        <w:jc w:val="both"/>
        <w:rPr>
          <w:rFonts w:ascii="Verdana" w:hAnsi="Verdana" w:cs="Arial"/>
        </w:rPr>
      </w:pPr>
    </w:p>
    <w:p w14:paraId="7A3F1924" w14:textId="21A370D6"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 xml:space="preserve">FUENTES DE INFORMACIÓN </w:t>
      </w:r>
    </w:p>
    <w:p w14:paraId="61B47290"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Instrucción Abono en cuenta emitida por el Departamento Nacional de Planeación </w:t>
      </w:r>
    </w:p>
    <w:p w14:paraId="629BDB26" w14:textId="77777777" w:rsidR="007C7EF4" w:rsidRPr="00CD459A" w:rsidRDefault="007C7EF4" w:rsidP="007C7EF4">
      <w:pPr>
        <w:suppressLineNumbers/>
        <w:tabs>
          <w:tab w:val="left" w:pos="-720"/>
        </w:tabs>
        <w:ind w:left="284" w:hanging="284"/>
        <w:jc w:val="both"/>
        <w:rPr>
          <w:rFonts w:ascii="Verdana" w:hAnsi="Verdana" w:cs="Arial"/>
        </w:rPr>
      </w:pPr>
    </w:p>
    <w:p w14:paraId="10331CAC"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 xml:space="preserve">CONCILIACIÓN </w:t>
      </w:r>
    </w:p>
    <w:p w14:paraId="0428747A" w14:textId="77777777" w:rsidR="007C7EF4" w:rsidRPr="00CD459A" w:rsidRDefault="007C7EF4" w:rsidP="007C7EF4">
      <w:pPr>
        <w:suppressLineNumbers/>
        <w:tabs>
          <w:tab w:val="left" w:pos="-720"/>
        </w:tabs>
        <w:ind w:left="284" w:hanging="284"/>
        <w:jc w:val="both"/>
        <w:rPr>
          <w:rFonts w:ascii="Verdana" w:hAnsi="Verdana" w:cs="Arial"/>
        </w:rPr>
      </w:pPr>
    </w:p>
    <w:p w14:paraId="1F091E4D"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REVELACIONES</w:t>
      </w:r>
    </w:p>
    <w:p w14:paraId="3BDC295E" w14:textId="77777777" w:rsidR="007C7EF4" w:rsidRPr="00CD459A" w:rsidRDefault="007C7EF4" w:rsidP="007C7EF4">
      <w:pPr>
        <w:suppressLineNumbers/>
        <w:tabs>
          <w:tab w:val="left" w:pos="-720"/>
        </w:tabs>
        <w:ind w:left="284" w:hanging="284"/>
        <w:jc w:val="both"/>
        <w:rPr>
          <w:rFonts w:ascii="Verdana" w:hAnsi="Verdana" w:cs="Arial"/>
        </w:rPr>
      </w:pPr>
    </w:p>
    <w:p w14:paraId="155FF688" w14:textId="4C6836C4" w:rsidR="007C7EF4" w:rsidRDefault="007C7EF4" w:rsidP="00CD459A">
      <w:pPr>
        <w:suppressLineNumbers/>
        <w:tabs>
          <w:tab w:val="left" w:pos="-720"/>
        </w:tabs>
        <w:jc w:val="both"/>
        <w:rPr>
          <w:rFonts w:ascii="Verdana" w:hAnsi="Verdana" w:cs="Arial"/>
        </w:rPr>
      </w:pPr>
      <w:r w:rsidRPr="00CD459A">
        <w:rPr>
          <w:rFonts w:ascii="Verdana" w:hAnsi="Verdana" w:cs="Arial"/>
        </w:rPr>
        <w:t>De esta cuenta se discrimina lo que corresponde a Regalias distribuidas como Fondo de Desarrollo Regional - Compensación de Asignaciones Directas que no ha sido redistribuido para los terceros beneficiarios de asignaciones directas y el valor distribuido no girado para el Fondo de Ahorro y Estabilización - FAE.</w:t>
      </w:r>
    </w:p>
    <w:p w14:paraId="7848F31C" w14:textId="77777777" w:rsidR="00CD459A" w:rsidRPr="00CD459A" w:rsidRDefault="00CD459A" w:rsidP="00CD459A">
      <w:pPr>
        <w:suppressLineNumbers/>
        <w:tabs>
          <w:tab w:val="left" w:pos="-720"/>
        </w:tabs>
        <w:jc w:val="both"/>
        <w:rPr>
          <w:rFonts w:ascii="Verdana" w:hAnsi="Verdana" w:cs="Arial"/>
        </w:rPr>
      </w:pPr>
    </w:p>
    <w:p w14:paraId="1D8184DE" w14:textId="77777777" w:rsidR="007C7EF4" w:rsidRPr="00CD459A" w:rsidRDefault="007C7EF4" w:rsidP="007C7EF4">
      <w:pPr>
        <w:suppressLineNumbers/>
        <w:tabs>
          <w:tab w:val="left" w:pos="-720"/>
        </w:tabs>
        <w:ind w:left="284" w:hanging="284"/>
        <w:jc w:val="both"/>
        <w:rPr>
          <w:rFonts w:ascii="Verdana" w:hAnsi="Verdana" w:cs="Arial"/>
        </w:rPr>
      </w:pPr>
      <w:r w:rsidRPr="00CD459A">
        <w:rPr>
          <w:rFonts w:ascii="Verdana" w:hAnsi="Verdana" w:cs="Arial"/>
        </w:rPr>
        <w:t>DINÁMICA</w:t>
      </w:r>
    </w:p>
    <w:p w14:paraId="14E9E015" w14:textId="77777777" w:rsidR="007C7EF4" w:rsidRPr="00CD459A" w:rsidRDefault="007C7EF4" w:rsidP="007C7EF4">
      <w:pPr>
        <w:suppressLineNumbers/>
        <w:tabs>
          <w:tab w:val="left" w:pos="-720"/>
        </w:tabs>
        <w:ind w:left="284" w:hanging="284"/>
        <w:jc w:val="both"/>
        <w:rPr>
          <w:rFonts w:ascii="Verdana" w:hAnsi="Verdana" w:cs="Arial"/>
        </w:rPr>
      </w:pPr>
    </w:p>
    <w:p w14:paraId="0045EFC5" w14:textId="78A0D069"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DEBITA CON:</w:t>
      </w:r>
    </w:p>
    <w:p w14:paraId="160C01DB" w14:textId="77777777" w:rsidR="007C7EF4" w:rsidRPr="00CD459A"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Asignaciones Directas, con crédito a la subcuenta 937001 – Asignaciones Directas.</w:t>
      </w:r>
    </w:p>
    <w:p w14:paraId="65AFE541" w14:textId="77777777" w:rsidR="007C7EF4" w:rsidRPr="00CD459A"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el Fondo de Ahorro y Estabilización – FAE, con crédito a la subcuenta 937002– Fondo de Ahorro y Estabilización - FAE.</w:t>
      </w:r>
    </w:p>
    <w:p w14:paraId="27FAEDC0" w14:textId="77777777" w:rsidR="007C7EF4" w:rsidRPr="00CD459A" w:rsidRDefault="007C7EF4" w:rsidP="007C7EF4">
      <w:pPr>
        <w:pStyle w:val="Prrafodelista"/>
        <w:suppressLineNumbers/>
        <w:tabs>
          <w:tab w:val="left" w:pos="-720"/>
        </w:tabs>
        <w:jc w:val="both"/>
        <w:rPr>
          <w:rFonts w:ascii="Verdana" w:hAnsi="Verdana" w:cs="Arial"/>
        </w:rPr>
      </w:pPr>
    </w:p>
    <w:p w14:paraId="607FA375" w14:textId="77777777" w:rsidR="007C7EF4" w:rsidRPr="00CD459A"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el Fondo de Desarrollo Regional – Compensación de Asignaciones Directas, con crédito a la subcuenta 937003 – Fondo de Desarrollo Regional para compensar Asignaciones Directas.</w:t>
      </w:r>
    </w:p>
    <w:p w14:paraId="1BAEAF00" w14:textId="77777777" w:rsidR="007C7EF4" w:rsidRPr="00CD459A"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Asignación PAZ, con crédito a la subcuenta 937004 – Asignación para la PAZ.</w:t>
      </w:r>
    </w:p>
    <w:p w14:paraId="177C5145" w14:textId="77777777" w:rsidR="007C7EF4" w:rsidRPr="00CD459A"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Fiscalización del SGR, con crédito a la subcuenta 937005 – Fiscalización del SGR.</w:t>
      </w:r>
    </w:p>
    <w:p w14:paraId="1746755F" w14:textId="77777777" w:rsidR="007C7EF4" w:rsidRDefault="007C7EF4" w:rsidP="00AB3D96">
      <w:pPr>
        <w:pStyle w:val="Prrafodelista"/>
        <w:numPr>
          <w:ilvl w:val="0"/>
          <w:numId w:val="83"/>
        </w:numPr>
        <w:suppressLineNumbers/>
        <w:tabs>
          <w:tab w:val="left" w:pos="-720"/>
        </w:tabs>
        <w:spacing w:line="240" w:lineRule="auto"/>
        <w:jc w:val="both"/>
        <w:rPr>
          <w:rFonts w:ascii="Verdana" w:hAnsi="Verdana" w:cs="Arial"/>
        </w:rPr>
      </w:pPr>
      <w:r w:rsidRPr="00CD459A">
        <w:rPr>
          <w:rFonts w:ascii="Verdana" w:hAnsi="Verdana" w:cs="Arial"/>
        </w:rPr>
        <w:t>El valor de la distribución realizada por el Departamento Nacional de Planeación para funcionamiento del SGR, con crédito a la subcuenta 937006 – Funcionamiento del SGR.</w:t>
      </w:r>
    </w:p>
    <w:p w14:paraId="712D79A6" w14:textId="77777777" w:rsidR="00CD459A" w:rsidRPr="00CD459A" w:rsidRDefault="00CD459A" w:rsidP="00CD459A">
      <w:pPr>
        <w:pStyle w:val="Prrafodelista"/>
        <w:suppressLineNumbers/>
        <w:tabs>
          <w:tab w:val="left" w:pos="-720"/>
        </w:tabs>
        <w:spacing w:line="240" w:lineRule="auto"/>
        <w:jc w:val="both"/>
        <w:rPr>
          <w:rFonts w:ascii="Verdana" w:hAnsi="Verdana" w:cs="Arial"/>
        </w:rPr>
      </w:pPr>
    </w:p>
    <w:p w14:paraId="0C25092F" w14:textId="55F6E3C7" w:rsidR="007C7EF4" w:rsidRPr="00CD459A" w:rsidRDefault="007C7EF4" w:rsidP="00CD459A">
      <w:pPr>
        <w:suppressLineNumbers/>
        <w:tabs>
          <w:tab w:val="left" w:pos="-720"/>
        </w:tabs>
        <w:ind w:left="284" w:hanging="284"/>
        <w:jc w:val="both"/>
        <w:rPr>
          <w:rFonts w:ascii="Verdana" w:hAnsi="Verdana" w:cs="Arial"/>
        </w:rPr>
      </w:pPr>
      <w:r w:rsidRPr="00CD459A">
        <w:rPr>
          <w:rFonts w:ascii="Verdana" w:hAnsi="Verdana" w:cs="Arial"/>
        </w:rPr>
        <w:t>SE ACREDITA CON:</w:t>
      </w:r>
    </w:p>
    <w:p w14:paraId="03DE1370"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de los giros por concepto de Asignaciones Directas, con debito a la subcuenta 937001 – Asignaciones Directas.</w:t>
      </w:r>
    </w:p>
    <w:p w14:paraId="799C6E79"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de los giros realizados para el Fondo de Ahorro y Estabilización – FAE, con debito a la subcuenta 937002 –Fondo de Ahorro y Estabilización - FAE.</w:t>
      </w:r>
    </w:p>
    <w:p w14:paraId="01472068"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redistribuido como asignaciones directas a los beneficiarios, del valor que había sido distribuido como Fondo de Desarrollo Regional para – Compensación de Asignaciones Directas, con debito a la subcuenta 937003 – Regalias Distribuidas al Fondo de Desarrollo Regional para compensar Asignaciones Directas.</w:t>
      </w:r>
    </w:p>
    <w:p w14:paraId="20B2E06B"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de la aprobación de proyectos de asignación paz, con debito a la subcuenta 937004 – Asignación Paz.</w:t>
      </w:r>
    </w:p>
    <w:p w14:paraId="095829EA"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de los giros por concepto de Fiscalización del SGR, con debito a la subcuenta 937005 – Fiscalización del SGR.</w:t>
      </w:r>
    </w:p>
    <w:p w14:paraId="164CA81A" w14:textId="77777777" w:rsidR="007C7EF4" w:rsidRPr="00CD459A" w:rsidRDefault="007C7EF4" w:rsidP="00AB3D96">
      <w:pPr>
        <w:pStyle w:val="Prrafodelista"/>
        <w:numPr>
          <w:ilvl w:val="0"/>
          <w:numId w:val="84"/>
        </w:numPr>
        <w:suppressLineNumbers/>
        <w:tabs>
          <w:tab w:val="left" w:pos="-720"/>
        </w:tabs>
        <w:spacing w:line="240" w:lineRule="auto"/>
        <w:jc w:val="both"/>
        <w:rPr>
          <w:rFonts w:ascii="Verdana" w:hAnsi="Verdana" w:cs="Arial"/>
        </w:rPr>
      </w:pPr>
      <w:r w:rsidRPr="00CD459A">
        <w:rPr>
          <w:rFonts w:ascii="Verdana" w:hAnsi="Verdana" w:cs="Arial"/>
        </w:rPr>
        <w:t>El valor de los giros por concepto de Funcionamientos del SGR, con debito a la subcuenta 937006 – Funcionamiento del SGR.</w:t>
      </w:r>
    </w:p>
    <w:p w14:paraId="15D99E1D" w14:textId="77777777" w:rsidR="007C7EF4" w:rsidRPr="00CD459A" w:rsidRDefault="007C7EF4" w:rsidP="007C7EF4">
      <w:pPr>
        <w:pStyle w:val="Prrafodelista"/>
        <w:suppressLineNumbers/>
        <w:tabs>
          <w:tab w:val="left" w:pos="-720"/>
        </w:tabs>
        <w:jc w:val="both"/>
        <w:rPr>
          <w:rFonts w:ascii="Verdana" w:hAnsi="Verdana" w:cs="Arial"/>
        </w:rPr>
      </w:pPr>
    </w:p>
    <w:p w14:paraId="58938441" w14:textId="77777777" w:rsidR="007C7EF4" w:rsidRPr="00CD459A" w:rsidRDefault="007C7EF4" w:rsidP="00AB3D96">
      <w:pPr>
        <w:pStyle w:val="Prrafodelista"/>
        <w:numPr>
          <w:ilvl w:val="0"/>
          <w:numId w:val="19"/>
        </w:numPr>
        <w:jc w:val="both"/>
        <w:outlineLvl w:val="0"/>
        <w:rPr>
          <w:rFonts w:ascii="Verdana" w:hAnsi="Verdana" w:cs="Arial"/>
          <w:b/>
        </w:rPr>
      </w:pPr>
      <w:r w:rsidRPr="00CD459A">
        <w:rPr>
          <w:rFonts w:ascii="Verdana" w:hAnsi="Verdana" w:cs="Arial"/>
          <w:b/>
        </w:rPr>
        <w:t xml:space="preserve"> </w:t>
      </w:r>
      <w:bookmarkStart w:id="799" w:name="_Toc62483992"/>
      <w:bookmarkStart w:id="800" w:name="_Toc94710278"/>
      <w:r w:rsidRPr="00CD459A">
        <w:rPr>
          <w:rFonts w:ascii="Verdana" w:hAnsi="Verdana" w:cs="Arial"/>
          <w:b/>
        </w:rPr>
        <w:t>HISTORIAL DE CAMBIOS</w:t>
      </w:r>
      <w:bookmarkEnd w:id="799"/>
      <w:bookmarkEnd w:id="800"/>
    </w:p>
    <w:p w14:paraId="2E459F46" w14:textId="77777777" w:rsidR="007C7EF4" w:rsidRPr="00CD459A" w:rsidRDefault="007C7EF4" w:rsidP="007C7EF4">
      <w:pPr>
        <w:jc w:val="both"/>
        <w:rPr>
          <w:rFonts w:ascii="Verdana" w:hAnsi="Verdana" w:cs="Arial"/>
        </w:rPr>
      </w:pPr>
    </w:p>
    <w:tbl>
      <w:tblPr>
        <w:tblW w:w="1063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1725"/>
        <w:gridCol w:w="5245"/>
        <w:gridCol w:w="2244"/>
      </w:tblGrid>
      <w:tr w:rsidR="00CD459A" w:rsidRPr="00CD459A" w14:paraId="4D56F477" w14:textId="77777777" w:rsidTr="00CD459A">
        <w:trPr>
          <w:trHeight w:val="346"/>
          <w:tblHeader/>
        </w:trPr>
        <w:tc>
          <w:tcPr>
            <w:tcW w:w="1423" w:type="dxa"/>
            <w:shd w:val="clear" w:color="auto" w:fill="404040" w:themeFill="text1" w:themeFillTint="BF"/>
            <w:tcMar>
              <w:top w:w="57" w:type="dxa"/>
              <w:left w:w="113" w:type="dxa"/>
              <w:bottom w:w="57" w:type="dxa"/>
            </w:tcMar>
            <w:vAlign w:val="center"/>
          </w:tcPr>
          <w:p w14:paraId="3FFC0092" w14:textId="77777777" w:rsidR="007C7EF4" w:rsidRPr="00CD459A" w:rsidRDefault="007C7EF4" w:rsidP="003B74CE">
            <w:pPr>
              <w:jc w:val="center"/>
              <w:rPr>
                <w:rFonts w:ascii="Verdana" w:hAnsi="Verdana" w:cs="Arial"/>
                <w:b/>
                <w:bCs/>
                <w:color w:val="FFFFFF" w:themeColor="background1"/>
              </w:rPr>
            </w:pPr>
            <w:r w:rsidRPr="00CD459A">
              <w:rPr>
                <w:rFonts w:ascii="Verdana" w:hAnsi="Verdana" w:cs="Arial"/>
                <w:b/>
                <w:bCs/>
                <w:color w:val="FFFFFF" w:themeColor="background1"/>
              </w:rPr>
              <w:t>FECHA</w:t>
            </w:r>
          </w:p>
        </w:tc>
        <w:tc>
          <w:tcPr>
            <w:tcW w:w="1725" w:type="dxa"/>
            <w:shd w:val="clear" w:color="auto" w:fill="404040" w:themeFill="text1" w:themeFillTint="BF"/>
            <w:tcMar>
              <w:top w:w="57" w:type="dxa"/>
              <w:left w:w="113" w:type="dxa"/>
              <w:bottom w:w="57" w:type="dxa"/>
            </w:tcMar>
            <w:vAlign w:val="center"/>
          </w:tcPr>
          <w:p w14:paraId="41AEA719" w14:textId="77777777" w:rsidR="007C7EF4" w:rsidRPr="00CD459A" w:rsidRDefault="007C7EF4" w:rsidP="003B74CE">
            <w:pPr>
              <w:jc w:val="center"/>
              <w:rPr>
                <w:rFonts w:ascii="Verdana" w:hAnsi="Verdana" w:cs="Arial"/>
                <w:b/>
                <w:bCs/>
                <w:color w:val="FFFFFF" w:themeColor="background1"/>
              </w:rPr>
            </w:pPr>
            <w:r w:rsidRPr="00CD459A">
              <w:rPr>
                <w:rFonts w:ascii="Verdana" w:hAnsi="Verdana" w:cs="Arial"/>
                <w:b/>
                <w:bCs/>
                <w:color w:val="FFFFFF" w:themeColor="background1"/>
              </w:rPr>
              <w:t>VERSIÓN</w:t>
            </w:r>
          </w:p>
        </w:tc>
        <w:tc>
          <w:tcPr>
            <w:tcW w:w="5245" w:type="dxa"/>
            <w:shd w:val="clear" w:color="auto" w:fill="404040" w:themeFill="text1" w:themeFillTint="BF"/>
            <w:tcMar>
              <w:top w:w="57" w:type="dxa"/>
              <w:left w:w="113" w:type="dxa"/>
              <w:bottom w:w="57" w:type="dxa"/>
            </w:tcMar>
            <w:vAlign w:val="center"/>
          </w:tcPr>
          <w:p w14:paraId="644D3D8D" w14:textId="77777777" w:rsidR="007C7EF4" w:rsidRPr="00CD459A" w:rsidRDefault="007C7EF4" w:rsidP="003B74CE">
            <w:pPr>
              <w:jc w:val="center"/>
              <w:rPr>
                <w:rFonts w:ascii="Verdana" w:hAnsi="Verdana" w:cs="Arial"/>
                <w:b/>
                <w:bCs/>
                <w:color w:val="FFFFFF" w:themeColor="background1"/>
              </w:rPr>
            </w:pPr>
            <w:r w:rsidRPr="00CD459A">
              <w:rPr>
                <w:rFonts w:ascii="Verdana" w:hAnsi="Verdana" w:cs="Arial"/>
                <w:b/>
                <w:bCs/>
                <w:color w:val="FFFFFF" w:themeColor="background1"/>
              </w:rPr>
              <w:t>DESCRIPCIÓN DEL CAMBIO</w:t>
            </w:r>
          </w:p>
        </w:tc>
        <w:tc>
          <w:tcPr>
            <w:tcW w:w="2244" w:type="dxa"/>
            <w:shd w:val="clear" w:color="auto" w:fill="404040" w:themeFill="text1" w:themeFillTint="BF"/>
            <w:tcMar>
              <w:top w:w="57" w:type="dxa"/>
              <w:left w:w="113" w:type="dxa"/>
              <w:bottom w:w="57" w:type="dxa"/>
            </w:tcMar>
            <w:vAlign w:val="center"/>
          </w:tcPr>
          <w:p w14:paraId="023F3167" w14:textId="77777777" w:rsidR="007C7EF4" w:rsidRPr="00CD459A" w:rsidRDefault="007C7EF4" w:rsidP="003B74CE">
            <w:pPr>
              <w:jc w:val="center"/>
              <w:rPr>
                <w:rFonts w:ascii="Verdana" w:hAnsi="Verdana" w:cs="Arial"/>
                <w:b/>
                <w:bCs/>
                <w:color w:val="FFFFFF" w:themeColor="background1"/>
              </w:rPr>
            </w:pPr>
            <w:r w:rsidRPr="00CD459A">
              <w:rPr>
                <w:rFonts w:ascii="Verdana" w:hAnsi="Verdana" w:cs="Arial"/>
                <w:b/>
                <w:bCs/>
                <w:color w:val="FFFFFF" w:themeColor="background1"/>
              </w:rPr>
              <w:t>ASESOR SUG</w:t>
            </w:r>
          </w:p>
        </w:tc>
      </w:tr>
      <w:tr w:rsidR="00CD459A" w:rsidRPr="00CD459A" w14:paraId="368C578D" w14:textId="77777777" w:rsidTr="00CD459A">
        <w:trPr>
          <w:trHeight w:val="417"/>
        </w:trPr>
        <w:tc>
          <w:tcPr>
            <w:tcW w:w="1423" w:type="dxa"/>
            <w:shd w:val="clear" w:color="auto" w:fill="auto"/>
            <w:tcMar>
              <w:top w:w="57" w:type="dxa"/>
              <w:left w:w="113" w:type="dxa"/>
              <w:bottom w:w="57" w:type="dxa"/>
            </w:tcMar>
            <w:vAlign w:val="center"/>
          </w:tcPr>
          <w:p w14:paraId="1BED4DFB" w14:textId="77777777" w:rsidR="007C7EF4" w:rsidRPr="00CD459A" w:rsidRDefault="007C7EF4" w:rsidP="003B74CE">
            <w:pPr>
              <w:jc w:val="both"/>
              <w:rPr>
                <w:rFonts w:ascii="Verdana" w:hAnsi="Verdana" w:cs="Arial"/>
              </w:rPr>
            </w:pPr>
            <w:r w:rsidRPr="00CD459A">
              <w:rPr>
                <w:rFonts w:ascii="Verdana" w:hAnsi="Verdana" w:cs="Arial"/>
              </w:rPr>
              <w:t>26-ago-15</w:t>
            </w:r>
          </w:p>
        </w:tc>
        <w:tc>
          <w:tcPr>
            <w:tcW w:w="1725" w:type="dxa"/>
            <w:shd w:val="clear" w:color="auto" w:fill="auto"/>
            <w:tcMar>
              <w:top w:w="57" w:type="dxa"/>
              <w:left w:w="113" w:type="dxa"/>
              <w:bottom w:w="57" w:type="dxa"/>
            </w:tcMar>
            <w:vAlign w:val="center"/>
          </w:tcPr>
          <w:p w14:paraId="79D54B01" w14:textId="77777777" w:rsidR="007C7EF4" w:rsidRPr="00CD459A" w:rsidRDefault="007C7EF4" w:rsidP="003B74CE">
            <w:pPr>
              <w:jc w:val="center"/>
              <w:rPr>
                <w:rFonts w:ascii="Verdana" w:hAnsi="Verdana" w:cs="Arial"/>
              </w:rPr>
            </w:pPr>
            <w:r w:rsidRPr="00CD459A">
              <w:rPr>
                <w:rFonts w:ascii="Verdana" w:hAnsi="Verdana" w:cs="Arial"/>
              </w:rPr>
              <w:t>1</w:t>
            </w:r>
          </w:p>
        </w:tc>
        <w:tc>
          <w:tcPr>
            <w:tcW w:w="5245" w:type="dxa"/>
            <w:tcMar>
              <w:top w:w="57" w:type="dxa"/>
              <w:left w:w="113" w:type="dxa"/>
              <w:bottom w:w="57" w:type="dxa"/>
            </w:tcMar>
            <w:vAlign w:val="center"/>
          </w:tcPr>
          <w:p w14:paraId="06AB67BE" w14:textId="77777777" w:rsidR="007C7EF4" w:rsidRPr="00CD459A" w:rsidRDefault="007C7EF4" w:rsidP="003B74CE">
            <w:pPr>
              <w:jc w:val="both"/>
              <w:rPr>
                <w:rFonts w:ascii="Verdana" w:hAnsi="Verdana" w:cs="Arial"/>
              </w:rPr>
            </w:pPr>
            <w:r w:rsidRPr="00CD459A">
              <w:rPr>
                <w:rFonts w:ascii="Verdana" w:hAnsi="Verdana" w:cs="Arial"/>
              </w:rPr>
              <w:t xml:space="preserve">Primera Versión del documento </w:t>
            </w:r>
          </w:p>
        </w:tc>
        <w:tc>
          <w:tcPr>
            <w:tcW w:w="2244" w:type="dxa"/>
            <w:tcMar>
              <w:top w:w="57" w:type="dxa"/>
              <w:left w:w="113" w:type="dxa"/>
              <w:bottom w:w="57" w:type="dxa"/>
            </w:tcMar>
            <w:vAlign w:val="center"/>
          </w:tcPr>
          <w:p w14:paraId="78B79998" w14:textId="77777777" w:rsidR="007C7EF4" w:rsidRPr="00CD459A" w:rsidRDefault="007C7EF4" w:rsidP="003B74CE">
            <w:pPr>
              <w:jc w:val="both"/>
              <w:rPr>
                <w:rFonts w:ascii="Verdana" w:hAnsi="Verdana" w:cs="Arial"/>
              </w:rPr>
            </w:pPr>
            <w:r w:rsidRPr="00CD459A">
              <w:rPr>
                <w:rFonts w:ascii="Verdana" w:hAnsi="Verdana" w:cs="Arial"/>
              </w:rPr>
              <w:t xml:space="preserve">Maria Cristina Rojas S. </w:t>
            </w:r>
          </w:p>
        </w:tc>
      </w:tr>
      <w:tr w:rsidR="00CD459A" w:rsidRPr="00CD459A" w14:paraId="59DF86CF" w14:textId="77777777" w:rsidTr="00CD459A">
        <w:trPr>
          <w:trHeight w:val="541"/>
        </w:trPr>
        <w:tc>
          <w:tcPr>
            <w:tcW w:w="1423" w:type="dxa"/>
            <w:shd w:val="clear" w:color="auto" w:fill="auto"/>
            <w:tcMar>
              <w:top w:w="57" w:type="dxa"/>
              <w:left w:w="113" w:type="dxa"/>
              <w:bottom w:w="57" w:type="dxa"/>
            </w:tcMar>
            <w:vAlign w:val="center"/>
          </w:tcPr>
          <w:p w14:paraId="41079576" w14:textId="77777777" w:rsidR="007C7EF4" w:rsidRPr="00CD459A" w:rsidRDefault="007C7EF4" w:rsidP="003B74CE">
            <w:pPr>
              <w:jc w:val="both"/>
              <w:rPr>
                <w:rFonts w:ascii="Verdana" w:hAnsi="Verdana" w:cs="Arial"/>
              </w:rPr>
            </w:pPr>
            <w:r w:rsidRPr="00CD459A">
              <w:rPr>
                <w:rFonts w:ascii="Verdana" w:hAnsi="Verdana" w:cs="Arial"/>
              </w:rPr>
              <w:t>01-Feb-19</w:t>
            </w:r>
          </w:p>
        </w:tc>
        <w:tc>
          <w:tcPr>
            <w:tcW w:w="1725" w:type="dxa"/>
            <w:shd w:val="clear" w:color="auto" w:fill="auto"/>
            <w:tcMar>
              <w:top w:w="57" w:type="dxa"/>
              <w:left w:w="113" w:type="dxa"/>
              <w:bottom w:w="57" w:type="dxa"/>
            </w:tcMar>
            <w:vAlign w:val="center"/>
          </w:tcPr>
          <w:p w14:paraId="5AFDB685" w14:textId="77777777" w:rsidR="007C7EF4" w:rsidRPr="00CD459A" w:rsidRDefault="007C7EF4" w:rsidP="003B74CE">
            <w:pPr>
              <w:jc w:val="center"/>
              <w:rPr>
                <w:rFonts w:ascii="Verdana" w:hAnsi="Verdana" w:cs="Arial"/>
              </w:rPr>
            </w:pPr>
            <w:r w:rsidRPr="00CD459A">
              <w:rPr>
                <w:rFonts w:ascii="Verdana" w:hAnsi="Verdana" w:cs="Arial"/>
              </w:rPr>
              <w:t>2</w:t>
            </w:r>
          </w:p>
        </w:tc>
        <w:tc>
          <w:tcPr>
            <w:tcW w:w="5245" w:type="dxa"/>
            <w:tcMar>
              <w:top w:w="57" w:type="dxa"/>
              <w:left w:w="113" w:type="dxa"/>
              <w:bottom w:w="57" w:type="dxa"/>
            </w:tcMar>
            <w:vAlign w:val="center"/>
          </w:tcPr>
          <w:p w14:paraId="524FE04F" w14:textId="77777777" w:rsidR="007C7EF4" w:rsidRPr="00CD459A" w:rsidRDefault="007C7EF4" w:rsidP="003B74CE">
            <w:pPr>
              <w:jc w:val="both"/>
              <w:rPr>
                <w:rFonts w:ascii="Verdana" w:hAnsi="Verdana" w:cs="Arial"/>
              </w:rPr>
            </w:pPr>
            <w:r w:rsidRPr="00CD459A">
              <w:rPr>
                <w:rFonts w:ascii="Verdana" w:hAnsi="Verdana" w:cs="Arial"/>
              </w:rPr>
              <w:t>Se modifica políticas contables, conforme a nuevo marco normativo establecido a partir del 01 de enero de 2018.</w:t>
            </w:r>
          </w:p>
        </w:tc>
        <w:tc>
          <w:tcPr>
            <w:tcW w:w="2244" w:type="dxa"/>
            <w:tcMar>
              <w:top w:w="57" w:type="dxa"/>
              <w:left w:w="113" w:type="dxa"/>
              <w:bottom w:w="57" w:type="dxa"/>
            </w:tcMar>
            <w:vAlign w:val="center"/>
          </w:tcPr>
          <w:p w14:paraId="5D5D284A" w14:textId="77777777" w:rsidR="007C7EF4" w:rsidRPr="00CD459A" w:rsidRDefault="007C7EF4" w:rsidP="003B74CE">
            <w:pPr>
              <w:jc w:val="both"/>
              <w:rPr>
                <w:rFonts w:ascii="Verdana" w:hAnsi="Verdana" w:cs="Arial"/>
              </w:rPr>
            </w:pPr>
            <w:r w:rsidRPr="00CD459A">
              <w:rPr>
                <w:rFonts w:ascii="Verdana" w:hAnsi="Verdana" w:cs="Arial"/>
              </w:rPr>
              <w:t>Angie Johanna corredor</w:t>
            </w:r>
          </w:p>
        </w:tc>
      </w:tr>
      <w:tr w:rsidR="00CD459A" w:rsidRPr="00CD459A" w14:paraId="4E042093" w14:textId="77777777" w:rsidTr="00CD459A">
        <w:trPr>
          <w:trHeight w:val="541"/>
        </w:trPr>
        <w:tc>
          <w:tcPr>
            <w:tcW w:w="1423" w:type="dxa"/>
            <w:shd w:val="clear" w:color="auto" w:fill="auto"/>
            <w:tcMar>
              <w:top w:w="57" w:type="dxa"/>
              <w:left w:w="113" w:type="dxa"/>
              <w:bottom w:w="57" w:type="dxa"/>
            </w:tcMar>
            <w:vAlign w:val="center"/>
          </w:tcPr>
          <w:p w14:paraId="6F438A90" w14:textId="77777777" w:rsidR="007C7EF4" w:rsidRPr="00CD459A" w:rsidRDefault="007C7EF4" w:rsidP="003B74CE">
            <w:pPr>
              <w:jc w:val="both"/>
              <w:rPr>
                <w:rFonts w:ascii="Verdana" w:hAnsi="Verdana" w:cs="Arial"/>
              </w:rPr>
            </w:pPr>
            <w:r w:rsidRPr="00CD459A">
              <w:rPr>
                <w:rFonts w:ascii="Verdana" w:hAnsi="Verdana" w:cs="Arial"/>
              </w:rPr>
              <w:t>03- Jul-19</w:t>
            </w:r>
          </w:p>
        </w:tc>
        <w:tc>
          <w:tcPr>
            <w:tcW w:w="1725" w:type="dxa"/>
            <w:shd w:val="clear" w:color="auto" w:fill="auto"/>
            <w:tcMar>
              <w:top w:w="57" w:type="dxa"/>
              <w:left w:w="113" w:type="dxa"/>
              <w:bottom w:w="57" w:type="dxa"/>
            </w:tcMar>
            <w:vAlign w:val="center"/>
          </w:tcPr>
          <w:p w14:paraId="0D27AE93" w14:textId="77777777" w:rsidR="007C7EF4" w:rsidRPr="00CD459A" w:rsidRDefault="007C7EF4" w:rsidP="003B74CE">
            <w:pPr>
              <w:jc w:val="center"/>
              <w:rPr>
                <w:rFonts w:ascii="Verdana" w:hAnsi="Verdana" w:cs="Arial"/>
              </w:rPr>
            </w:pPr>
            <w:r w:rsidRPr="00CD459A">
              <w:rPr>
                <w:rFonts w:ascii="Verdana" w:hAnsi="Verdana" w:cs="Arial"/>
              </w:rPr>
              <w:t>3</w:t>
            </w:r>
          </w:p>
        </w:tc>
        <w:tc>
          <w:tcPr>
            <w:tcW w:w="5245" w:type="dxa"/>
            <w:tcMar>
              <w:top w:w="57" w:type="dxa"/>
              <w:left w:w="113" w:type="dxa"/>
              <w:bottom w:w="57" w:type="dxa"/>
            </w:tcMar>
            <w:vAlign w:val="center"/>
          </w:tcPr>
          <w:p w14:paraId="46610569" w14:textId="77777777" w:rsidR="007C7EF4" w:rsidRPr="00CD459A" w:rsidRDefault="007C7EF4" w:rsidP="003B74CE">
            <w:pPr>
              <w:jc w:val="both"/>
              <w:rPr>
                <w:rFonts w:ascii="Verdana" w:hAnsi="Verdana" w:cs="Arial"/>
              </w:rPr>
            </w:pPr>
            <w:r w:rsidRPr="00CD459A">
              <w:rPr>
                <w:rFonts w:ascii="Verdana" w:hAnsi="Verdana" w:cs="Arial"/>
              </w:rPr>
              <w:t xml:space="preserve"> Se incluyen los numerales: 5, 6 y 7</w:t>
            </w:r>
          </w:p>
        </w:tc>
        <w:tc>
          <w:tcPr>
            <w:tcW w:w="2244" w:type="dxa"/>
            <w:tcMar>
              <w:top w:w="57" w:type="dxa"/>
              <w:left w:w="113" w:type="dxa"/>
              <w:bottom w:w="57" w:type="dxa"/>
            </w:tcMar>
            <w:vAlign w:val="center"/>
          </w:tcPr>
          <w:p w14:paraId="131955FA" w14:textId="77777777" w:rsidR="007C7EF4" w:rsidRPr="00CD459A" w:rsidRDefault="007C7EF4" w:rsidP="003B74CE">
            <w:pPr>
              <w:jc w:val="both"/>
              <w:rPr>
                <w:rFonts w:ascii="Verdana" w:hAnsi="Verdana" w:cs="Arial"/>
              </w:rPr>
            </w:pPr>
            <w:r w:rsidRPr="00CD459A">
              <w:rPr>
                <w:rFonts w:ascii="Verdana" w:hAnsi="Verdana" w:cs="Arial"/>
              </w:rPr>
              <w:t>Fernando Velásquez</w:t>
            </w:r>
          </w:p>
        </w:tc>
      </w:tr>
      <w:tr w:rsidR="00CD459A" w:rsidRPr="00CD459A" w14:paraId="5A8073CB" w14:textId="77777777" w:rsidTr="00CD459A">
        <w:trPr>
          <w:trHeight w:val="541"/>
        </w:trPr>
        <w:tc>
          <w:tcPr>
            <w:tcW w:w="1423" w:type="dxa"/>
            <w:shd w:val="clear" w:color="auto" w:fill="auto"/>
            <w:tcMar>
              <w:top w:w="57" w:type="dxa"/>
              <w:left w:w="113" w:type="dxa"/>
              <w:bottom w:w="57" w:type="dxa"/>
            </w:tcMar>
            <w:vAlign w:val="center"/>
          </w:tcPr>
          <w:p w14:paraId="0F628F8E" w14:textId="77777777" w:rsidR="007C7EF4" w:rsidRPr="00CD459A" w:rsidRDefault="007C7EF4" w:rsidP="003B74CE">
            <w:pPr>
              <w:jc w:val="both"/>
              <w:rPr>
                <w:rFonts w:ascii="Verdana" w:hAnsi="Verdana" w:cs="Arial"/>
              </w:rPr>
            </w:pPr>
            <w:r w:rsidRPr="00CD459A">
              <w:rPr>
                <w:rFonts w:ascii="Verdana" w:hAnsi="Verdana" w:cs="Arial"/>
              </w:rPr>
              <w:t>25- Ene-21</w:t>
            </w:r>
          </w:p>
        </w:tc>
        <w:tc>
          <w:tcPr>
            <w:tcW w:w="1725" w:type="dxa"/>
            <w:shd w:val="clear" w:color="auto" w:fill="auto"/>
            <w:tcMar>
              <w:top w:w="57" w:type="dxa"/>
              <w:left w:w="113" w:type="dxa"/>
              <w:bottom w:w="57" w:type="dxa"/>
            </w:tcMar>
            <w:vAlign w:val="center"/>
          </w:tcPr>
          <w:p w14:paraId="532A007E" w14:textId="77777777" w:rsidR="007C7EF4" w:rsidRPr="00CD459A" w:rsidRDefault="007C7EF4" w:rsidP="003B74CE">
            <w:pPr>
              <w:jc w:val="center"/>
              <w:rPr>
                <w:rFonts w:ascii="Verdana" w:hAnsi="Verdana" w:cs="Arial"/>
              </w:rPr>
            </w:pPr>
            <w:r w:rsidRPr="00CD459A">
              <w:rPr>
                <w:rFonts w:ascii="Verdana" w:hAnsi="Verdana" w:cs="Arial"/>
              </w:rPr>
              <w:t>4</w:t>
            </w:r>
          </w:p>
        </w:tc>
        <w:tc>
          <w:tcPr>
            <w:tcW w:w="5245" w:type="dxa"/>
            <w:tcMar>
              <w:top w:w="57" w:type="dxa"/>
              <w:left w:w="113" w:type="dxa"/>
              <w:bottom w:w="57" w:type="dxa"/>
            </w:tcMar>
            <w:vAlign w:val="center"/>
          </w:tcPr>
          <w:p w14:paraId="0D61CDAC" w14:textId="77777777" w:rsidR="007C7EF4" w:rsidRPr="00CD459A" w:rsidRDefault="007C7EF4" w:rsidP="003B74CE">
            <w:pPr>
              <w:jc w:val="both"/>
              <w:rPr>
                <w:rFonts w:ascii="Verdana" w:hAnsi="Verdana" w:cs="Arial"/>
              </w:rPr>
            </w:pPr>
            <w:r w:rsidRPr="00CD459A">
              <w:rPr>
                <w:rFonts w:ascii="Verdana" w:hAnsi="Verdana" w:cs="Arial"/>
              </w:rPr>
              <w:t xml:space="preserve"> Se incluye numeral 6 y se adiciona información en el numeral 14</w:t>
            </w:r>
          </w:p>
        </w:tc>
        <w:tc>
          <w:tcPr>
            <w:tcW w:w="2244" w:type="dxa"/>
            <w:tcMar>
              <w:top w:w="57" w:type="dxa"/>
              <w:left w:w="113" w:type="dxa"/>
              <w:bottom w:w="57" w:type="dxa"/>
            </w:tcMar>
            <w:vAlign w:val="center"/>
          </w:tcPr>
          <w:p w14:paraId="7C1C0889" w14:textId="77777777" w:rsidR="007C7EF4" w:rsidRPr="00CD459A" w:rsidRDefault="007C7EF4" w:rsidP="003B74CE">
            <w:pPr>
              <w:jc w:val="both"/>
              <w:rPr>
                <w:rFonts w:ascii="Verdana" w:hAnsi="Verdana" w:cs="Arial"/>
              </w:rPr>
            </w:pPr>
            <w:r w:rsidRPr="00CD459A">
              <w:rPr>
                <w:rFonts w:ascii="Verdana" w:hAnsi="Verdana" w:cs="Arial"/>
              </w:rPr>
              <w:t>Yeinmy Yolanda Rozo Morales</w:t>
            </w:r>
          </w:p>
        </w:tc>
      </w:tr>
      <w:tr w:rsidR="00CD459A" w:rsidRPr="00CD459A" w14:paraId="465D7D7E" w14:textId="77777777" w:rsidTr="00CD459A">
        <w:trPr>
          <w:trHeight w:val="541"/>
        </w:trPr>
        <w:tc>
          <w:tcPr>
            <w:tcW w:w="1423" w:type="dxa"/>
            <w:shd w:val="clear" w:color="auto" w:fill="auto"/>
            <w:tcMar>
              <w:top w:w="57" w:type="dxa"/>
              <w:left w:w="113" w:type="dxa"/>
              <w:bottom w:w="57" w:type="dxa"/>
            </w:tcMar>
            <w:vAlign w:val="center"/>
          </w:tcPr>
          <w:p w14:paraId="0CE70EB0" w14:textId="77777777" w:rsidR="007C7EF4" w:rsidRPr="00CD459A" w:rsidRDefault="007C7EF4" w:rsidP="003B74CE">
            <w:pPr>
              <w:jc w:val="both"/>
              <w:rPr>
                <w:rFonts w:ascii="Verdana" w:hAnsi="Verdana" w:cs="Arial"/>
              </w:rPr>
            </w:pPr>
            <w:r w:rsidRPr="00CD459A">
              <w:rPr>
                <w:rFonts w:ascii="Verdana" w:hAnsi="Verdana" w:cs="Arial"/>
              </w:rPr>
              <w:t>07-Feb-22</w:t>
            </w:r>
          </w:p>
        </w:tc>
        <w:tc>
          <w:tcPr>
            <w:tcW w:w="1725" w:type="dxa"/>
            <w:shd w:val="clear" w:color="auto" w:fill="auto"/>
            <w:tcMar>
              <w:top w:w="57" w:type="dxa"/>
              <w:left w:w="113" w:type="dxa"/>
              <w:bottom w:w="57" w:type="dxa"/>
            </w:tcMar>
            <w:vAlign w:val="center"/>
          </w:tcPr>
          <w:p w14:paraId="172B248C" w14:textId="77777777" w:rsidR="007C7EF4" w:rsidRPr="00CD459A" w:rsidRDefault="007C7EF4" w:rsidP="003B74CE">
            <w:pPr>
              <w:jc w:val="center"/>
              <w:rPr>
                <w:rFonts w:ascii="Verdana" w:hAnsi="Verdana" w:cs="Arial"/>
              </w:rPr>
            </w:pPr>
            <w:r w:rsidRPr="00CD459A">
              <w:rPr>
                <w:rFonts w:ascii="Verdana" w:hAnsi="Verdana" w:cs="Arial"/>
              </w:rPr>
              <w:t>5</w:t>
            </w:r>
          </w:p>
        </w:tc>
        <w:tc>
          <w:tcPr>
            <w:tcW w:w="5245" w:type="dxa"/>
            <w:tcMar>
              <w:top w:w="57" w:type="dxa"/>
              <w:left w:w="113" w:type="dxa"/>
              <w:bottom w:w="57" w:type="dxa"/>
            </w:tcMar>
            <w:vAlign w:val="center"/>
          </w:tcPr>
          <w:p w14:paraId="6D25C195" w14:textId="77777777" w:rsidR="007C7EF4" w:rsidRPr="00CD459A" w:rsidRDefault="007C7EF4" w:rsidP="003B74CE">
            <w:pPr>
              <w:jc w:val="both"/>
              <w:rPr>
                <w:rFonts w:ascii="Verdana" w:hAnsi="Verdana" w:cs="Arial"/>
              </w:rPr>
            </w:pPr>
            <w:r w:rsidRPr="00CD459A">
              <w:rPr>
                <w:rFonts w:ascii="Verdana" w:hAnsi="Verdana" w:cs="Arial"/>
              </w:rPr>
              <w:t>Se actualiza conforme a la Resolución 191 de 2020</w:t>
            </w:r>
          </w:p>
        </w:tc>
        <w:tc>
          <w:tcPr>
            <w:tcW w:w="2244" w:type="dxa"/>
            <w:tcMar>
              <w:top w:w="57" w:type="dxa"/>
              <w:left w:w="113" w:type="dxa"/>
              <w:bottom w:w="57" w:type="dxa"/>
            </w:tcMar>
            <w:vAlign w:val="center"/>
          </w:tcPr>
          <w:p w14:paraId="5C807035" w14:textId="77777777" w:rsidR="007C7EF4" w:rsidRPr="00CD459A" w:rsidRDefault="007C7EF4" w:rsidP="003B74CE">
            <w:pPr>
              <w:jc w:val="both"/>
              <w:rPr>
                <w:rFonts w:ascii="Verdana" w:hAnsi="Verdana" w:cs="Arial"/>
              </w:rPr>
            </w:pPr>
            <w:r w:rsidRPr="00CD459A">
              <w:rPr>
                <w:rFonts w:ascii="Verdana" w:hAnsi="Verdana" w:cs="Arial"/>
              </w:rPr>
              <w:t>Yeinmy Yolanda Rozo Morales</w:t>
            </w:r>
          </w:p>
        </w:tc>
      </w:tr>
    </w:tbl>
    <w:p w14:paraId="0BA41541" w14:textId="77777777" w:rsidR="007C7EF4" w:rsidRPr="00CD459A" w:rsidRDefault="007C7EF4" w:rsidP="007C7EF4">
      <w:pPr>
        <w:jc w:val="both"/>
        <w:rPr>
          <w:rFonts w:ascii="Verdana" w:hAnsi="Verdana" w:cs="Arial"/>
        </w:rPr>
      </w:pPr>
    </w:p>
    <w:p w14:paraId="30D02738" w14:textId="77777777" w:rsidR="007C7EF4" w:rsidRPr="00CD459A" w:rsidRDefault="007C7EF4" w:rsidP="00AB3D96">
      <w:pPr>
        <w:pStyle w:val="Prrafodelista"/>
        <w:numPr>
          <w:ilvl w:val="0"/>
          <w:numId w:val="19"/>
        </w:numPr>
        <w:jc w:val="both"/>
        <w:outlineLvl w:val="0"/>
        <w:rPr>
          <w:rFonts w:ascii="Verdana" w:hAnsi="Verdana" w:cs="Arial"/>
          <w:b/>
        </w:rPr>
      </w:pPr>
      <w:bookmarkStart w:id="801" w:name="_Toc62483993"/>
      <w:bookmarkStart w:id="802" w:name="_Toc94710279"/>
      <w:r w:rsidRPr="00CD459A">
        <w:rPr>
          <w:rFonts w:ascii="Verdana" w:hAnsi="Verdana" w:cs="Arial"/>
          <w:b/>
        </w:rPr>
        <w:t>APROBACIÓN</w:t>
      </w:r>
      <w:bookmarkEnd w:id="801"/>
      <w:bookmarkEnd w:id="802"/>
    </w:p>
    <w:tbl>
      <w:tblPr>
        <w:tblW w:w="8792"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835"/>
        <w:gridCol w:w="5957"/>
      </w:tblGrid>
      <w:tr w:rsidR="00CD459A" w:rsidRPr="00CD459A" w14:paraId="3E8D4BFD" w14:textId="77777777" w:rsidTr="00CD459A">
        <w:trPr>
          <w:trHeight w:val="878"/>
        </w:trPr>
        <w:tc>
          <w:tcPr>
            <w:tcW w:w="2835" w:type="dxa"/>
            <w:tcBorders>
              <w:top w:val="single" w:sz="6" w:space="0" w:color="auto"/>
              <w:left w:val="single" w:sz="6" w:space="0" w:color="auto"/>
              <w:bottom w:val="single" w:sz="6" w:space="0" w:color="auto"/>
              <w:right w:val="single" w:sz="6" w:space="0" w:color="auto"/>
            </w:tcBorders>
            <w:shd w:val="clear" w:color="auto" w:fill="404040" w:themeFill="text1" w:themeFillTint="BF"/>
            <w:vAlign w:val="center"/>
            <w:hideMark/>
          </w:tcPr>
          <w:p w14:paraId="3C7D698F" w14:textId="77777777" w:rsidR="007C7EF4" w:rsidRPr="00CD459A" w:rsidRDefault="007C7EF4" w:rsidP="003B74CE">
            <w:pPr>
              <w:pStyle w:val="Piedepgina"/>
              <w:ind w:right="360"/>
              <w:jc w:val="both"/>
              <w:rPr>
                <w:rFonts w:ascii="Verdana" w:hAnsi="Verdana" w:cs="Arial"/>
                <w:b/>
                <w:color w:val="FFFFFF" w:themeColor="background1"/>
              </w:rPr>
            </w:pPr>
            <w:r w:rsidRPr="00CD459A">
              <w:rPr>
                <w:rFonts w:ascii="Verdana" w:hAnsi="Verdana" w:cs="Arial"/>
                <w:b/>
                <w:color w:val="FFFFFF" w:themeColor="background1"/>
              </w:rPr>
              <w:t xml:space="preserve">ELABORADO POR: </w:t>
            </w:r>
          </w:p>
        </w:tc>
        <w:tc>
          <w:tcPr>
            <w:tcW w:w="5957" w:type="dxa"/>
            <w:tcBorders>
              <w:top w:val="single" w:sz="6" w:space="0" w:color="auto"/>
              <w:left w:val="single" w:sz="6" w:space="0" w:color="auto"/>
              <w:bottom w:val="single" w:sz="6" w:space="0" w:color="auto"/>
              <w:right w:val="single" w:sz="6" w:space="0" w:color="auto"/>
            </w:tcBorders>
            <w:shd w:val="clear" w:color="auto" w:fill="FFFFFF"/>
            <w:vAlign w:val="center"/>
          </w:tcPr>
          <w:p w14:paraId="3247611A" w14:textId="77777777" w:rsidR="007C7EF4" w:rsidRPr="00CD459A" w:rsidRDefault="007C7EF4" w:rsidP="003B74CE">
            <w:pPr>
              <w:pStyle w:val="Piedepgina"/>
              <w:ind w:right="360"/>
              <w:rPr>
                <w:rFonts w:ascii="Verdana" w:hAnsi="Verdana" w:cs="Arial"/>
                <w:b/>
                <w:i/>
              </w:rPr>
            </w:pPr>
            <w:r w:rsidRPr="00CD459A">
              <w:rPr>
                <w:rFonts w:ascii="Verdana" w:hAnsi="Verdana" w:cs="Arial"/>
                <w:b/>
              </w:rPr>
              <w:t xml:space="preserve">Nombre: </w:t>
            </w:r>
            <w:r w:rsidRPr="00CD459A">
              <w:rPr>
                <w:rFonts w:ascii="Verdana" w:hAnsi="Verdana" w:cs="Arial"/>
                <w:i/>
                <w:iCs/>
              </w:rPr>
              <w:t>Maria Angelica Fernandez Mahecha</w:t>
            </w:r>
          </w:p>
          <w:p w14:paraId="7764E73A" w14:textId="77777777" w:rsidR="007C7EF4" w:rsidRPr="00CD459A" w:rsidRDefault="007C7EF4" w:rsidP="003B74CE">
            <w:pPr>
              <w:pStyle w:val="Piedepgina"/>
              <w:ind w:right="360"/>
              <w:rPr>
                <w:rFonts w:ascii="Verdana" w:hAnsi="Verdana" w:cs="Arial"/>
              </w:rPr>
            </w:pPr>
            <w:r w:rsidRPr="00CD459A">
              <w:rPr>
                <w:rFonts w:ascii="Verdana" w:hAnsi="Verdana" w:cs="Arial"/>
                <w:b/>
              </w:rPr>
              <w:t xml:space="preserve">Cargo:    </w:t>
            </w:r>
            <w:r w:rsidRPr="00CD459A">
              <w:rPr>
                <w:rFonts w:ascii="Verdana" w:hAnsi="Verdana" w:cs="Arial"/>
                <w:i/>
                <w:iCs/>
              </w:rPr>
              <w:t>Asesor - Subdirección de Operaciones</w:t>
            </w:r>
          </w:p>
          <w:p w14:paraId="75079287" w14:textId="77777777" w:rsidR="007C7EF4" w:rsidRPr="00CD459A" w:rsidRDefault="007C7EF4" w:rsidP="003B74CE">
            <w:pPr>
              <w:pStyle w:val="Piedepgina"/>
              <w:ind w:right="360"/>
              <w:jc w:val="both"/>
              <w:rPr>
                <w:rFonts w:ascii="Verdana" w:hAnsi="Verdana" w:cs="Arial"/>
                <w:b/>
              </w:rPr>
            </w:pPr>
            <w:r w:rsidRPr="00CD459A">
              <w:rPr>
                <w:rFonts w:ascii="Verdana" w:hAnsi="Verdana" w:cs="Arial"/>
                <w:b/>
              </w:rPr>
              <w:t>Fecha</w:t>
            </w:r>
            <w:r w:rsidRPr="00CD459A">
              <w:rPr>
                <w:rFonts w:ascii="Verdana" w:hAnsi="Verdana" w:cs="Arial"/>
                <w:b/>
                <w:i/>
                <w:iCs/>
              </w:rPr>
              <w:t xml:space="preserve">:    </w:t>
            </w:r>
            <w:r w:rsidRPr="00CD459A">
              <w:rPr>
                <w:rFonts w:ascii="Verdana" w:hAnsi="Verdana" w:cs="Arial"/>
                <w:i/>
                <w:iCs/>
              </w:rPr>
              <w:t>25-01-2022</w:t>
            </w:r>
          </w:p>
        </w:tc>
      </w:tr>
      <w:tr w:rsidR="00CD459A" w:rsidRPr="00CD459A" w14:paraId="0F65B148" w14:textId="77777777" w:rsidTr="00CD459A">
        <w:trPr>
          <w:trHeight w:val="821"/>
        </w:trPr>
        <w:tc>
          <w:tcPr>
            <w:tcW w:w="2835" w:type="dxa"/>
            <w:tcBorders>
              <w:top w:val="single" w:sz="6" w:space="0" w:color="auto"/>
              <w:left w:val="single" w:sz="6" w:space="0" w:color="auto"/>
              <w:bottom w:val="single" w:sz="6" w:space="0" w:color="auto"/>
              <w:right w:val="single" w:sz="6" w:space="0" w:color="auto"/>
            </w:tcBorders>
            <w:shd w:val="clear" w:color="auto" w:fill="404040" w:themeFill="text1" w:themeFillTint="BF"/>
            <w:vAlign w:val="center"/>
          </w:tcPr>
          <w:p w14:paraId="4DA907FE" w14:textId="77777777" w:rsidR="007C7EF4" w:rsidRPr="00CD459A" w:rsidRDefault="007C7EF4" w:rsidP="003B74CE">
            <w:pPr>
              <w:pStyle w:val="Piedepgina"/>
              <w:ind w:right="360"/>
              <w:jc w:val="both"/>
              <w:rPr>
                <w:rFonts w:ascii="Verdana" w:hAnsi="Verdana" w:cs="Arial"/>
                <w:b/>
                <w:color w:val="FFFFFF" w:themeColor="background1"/>
              </w:rPr>
            </w:pPr>
            <w:r w:rsidRPr="00CD459A">
              <w:rPr>
                <w:rFonts w:ascii="Verdana" w:hAnsi="Verdana" w:cs="Arial"/>
                <w:b/>
                <w:color w:val="FFFFFF" w:themeColor="background1"/>
              </w:rPr>
              <w:t>REVISADO POR:</w:t>
            </w:r>
          </w:p>
        </w:tc>
        <w:tc>
          <w:tcPr>
            <w:tcW w:w="5957" w:type="dxa"/>
            <w:tcBorders>
              <w:top w:val="single" w:sz="6" w:space="0" w:color="auto"/>
              <w:left w:val="single" w:sz="6" w:space="0" w:color="auto"/>
              <w:bottom w:val="single" w:sz="6" w:space="0" w:color="auto"/>
              <w:right w:val="single" w:sz="6" w:space="0" w:color="auto"/>
            </w:tcBorders>
            <w:vAlign w:val="center"/>
          </w:tcPr>
          <w:p w14:paraId="68A4885E" w14:textId="77777777" w:rsidR="007C7EF4" w:rsidRPr="00CD459A" w:rsidRDefault="007C7EF4" w:rsidP="003B74CE">
            <w:pPr>
              <w:pStyle w:val="Piedepgina"/>
              <w:tabs>
                <w:tab w:val="left" w:pos="4536"/>
              </w:tabs>
              <w:ind w:right="71"/>
              <w:jc w:val="both"/>
              <w:rPr>
                <w:rFonts w:ascii="Verdana" w:hAnsi="Verdana" w:cs="Arial"/>
                <w:b/>
              </w:rPr>
            </w:pPr>
            <w:r w:rsidRPr="00CD459A">
              <w:rPr>
                <w:rFonts w:ascii="Verdana" w:hAnsi="Verdana" w:cs="Arial"/>
                <w:b/>
              </w:rPr>
              <w:t xml:space="preserve">Nombre: </w:t>
            </w:r>
            <w:r w:rsidRPr="00CD459A">
              <w:rPr>
                <w:rFonts w:ascii="Verdana" w:hAnsi="Verdana" w:cs="Arial"/>
                <w:i/>
                <w:iCs/>
              </w:rPr>
              <w:t>William Mora Herrera</w:t>
            </w:r>
            <w:r w:rsidRPr="00CD459A">
              <w:rPr>
                <w:rFonts w:ascii="Verdana" w:hAnsi="Verdana" w:cs="Arial"/>
                <w:b/>
              </w:rPr>
              <w:t xml:space="preserve"> </w:t>
            </w:r>
          </w:p>
          <w:p w14:paraId="0B1069F9" w14:textId="77777777" w:rsidR="007C7EF4" w:rsidRPr="00CD459A" w:rsidRDefault="007C7EF4" w:rsidP="003B74CE">
            <w:pPr>
              <w:pStyle w:val="Piedepgina"/>
              <w:tabs>
                <w:tab w:val="left" w:pos="4536"/>
              </w:tabs>
              <w:ind w:right="71"/>
              <w:jc w:val="both"/>
              <w:rPr>
                <w:rFonts w:ascii="Verdana" w:hAnsi="Verdana" w:cs="Arial"/>
                <w:b/>
              </w:rPr>
            </w:pPr>
            <w:r w:rsidRPr="00CD459A">
              <w:rPr>
                <w:rFonts w:ascii="Verdana" w:hAnsi="Verdana" w:cs="Arial"/>
                <w:b/>
              </w:rPr>
              <w:t xml:space="preserve">Cargo: </w:t>
            </w:r>
            <w:r w:rsidRPr="00CD459A">
              <w:rPr>
                <w:rFonts w:ascii="Verdana" w:hAnsi="Verdana" w:cs="Arial"/>
                <w:i/>
              </w:rPr>
              <w:t>Asesor Subdirección de Operaciones</w:t>
            </w:r>
          </w:p>
          <w:p w14:paraId="0FBE378C" w14:textId="77777777" w:rsidR="007C7EF4" w:rsidRPr="00CD459A" w:rsidRDefault="007C7EF4" w:rsidP="003B74CE">
            <w:pPr>
              <w:pStyle w:val="Piedepgina"/>
              <w:ind w:right="360"/>
              <w:jc w:val="both"/>
              <w:rPr>
                <w:rFonts w:ascii="Verdana" w:hAnsi="Verdana" w:cs="Arial"/>
                <w:b/>
              </w:rPr>
            </w:pPr>
            <w:r w:rsidRPr="00CD459A">
              <w:rPr>
                <w:rFonts w:ascii="Verdana" w:hAnsi="Verdana" w:cs="Arial"/>
                <w:b/>
              </w:rPr>
              <w:t xml:space="preserve">Fecha: </w:t>
            </w:r>
            <w:r w:rsidRPr="00CD459A">
              <w:rPr>
                <w:rFonts w:ascii="Verdana" w:hAnsi="Verdana" w:cs="Arial"/>
                <w:i/>
              </w:rPr>
              <w:t>28-01-2022</w:t>
            </w:r>
          </w:p>
        </w:tc>
      </w:tr>
      <w:tr w:rsidR="00CD459A" w:rsidRPr="00CD459A" w14:paraId="2FA095B5" w14:textId="77777777" w:rsidTr="00CD459A">
        <w:trPr>
          <w:trHeight w:val="846"/>
        </w:trPr>
        <w:tc>
          <w:tcPr>
            <w:tcW w:w="2835" w:type="dxa"/>
            <w:tcBorders>
              <w:top w:val="single" w:sz="6" w:space="0" w:color="auto"/>
              <w:left w:val="single" w:sz="6" w:space="0" w:color="auto"/>
              <w:bottom w:val="single" w:sz="6" w:space="0" w:color="auto"/>
              <w:right w:val="single" w:sz="6" w:space="0" w:color="auto"/>
            </w:tcBorders>
            <w:shd w:val="clear" w:color="auto" w:fill="404040" w:themeFill="text1" w:themeFillTint="BF"/>
            <w:vAlign w:val="center"/>
          </w:tcPr>
          <w:p w14:paraId="4B4ECC35" w14:textId="77777777" w:rsidR="007C7EF4" w:rsidRPr="00CD459A" w:rsidRDefault="007C7EF4" w:rsidP="003B74CE">
            <w:pPr>
              <w:pStyle w:val="Piedepgina"/>
              <w:ind w:right="360"/>
              <w:jc w:val="both"/>
              <w:rPr>
                <w:rFonts w:ascii="Verdana" w:hAnsi="Verdana" w:cs="Arial"/>
                <w:b/>
                <w:color w:val="FFFFFF" w:themeColor="background1"/>
              </w:rPr>
            </w:pPr>
            <w:r w:rsidRPr="00CD459A">
              <w:rPr>
                <w:rFonts w:ascii="Verdana" w:hAnsi="Verdana" w:cs="Arial"/>
                <w:b/>
                <w:color w:val="FFFFFF" w:themeColor="background1"/>
              </w:rPr>
              <w:t>APROBADO POR:</w:t>
            </w:r>
          </w:p>
        </w:tc>
        <w:tc>
          <w:tcPr>
            <w:tcW w:w="5957" w:type="dxa"/>
            <w:tcBorders>
              <w:top w:val="single" w:sz="6" w:space="0" w:color="auto"/>
              <w:left w:val="single" w:sz="6" w:space="0" w:color="auto"/>
              <w:bottom w:val="single" w:sz="6" w:space="0" w:color="auto"/>
              <w:right w:val="single" w:sz="6" w:space="0" w:color="auto"/>
            </w:tcBorders>
            <w:vAlign w:val="center"/>
          </w:tcPr>
          <w:p w14:paraId="28FCD7CF" w14:textId="77777777" w:rsidR="007C7EF4" w:rsidRPr="00CD459A" w:rsidRDefault="007C7EF4" w:rsidP="003B74CE">
            <w:pPr>
              <w:pStyle w:val="Piedepgina"/>
              <w:ind w:right="360"/>
              <w:jc w:val="both"/>
              <w:rPr>
                <w:rFonts w:ascii="Verdana" w:hAnsi="Verdana" w:cs="Arial"/>
                <w:b/>
              </w:rPr>
            </w:pPr>
            <w:r w:rsidRPr="00CD459A">
              <w:rPr>
                <w:rFonts w:ascii="Verdana" w:hAnsi="Verdana" w:cs="Arial"/>
                <w:b/>
              </w:rPr>
              <w:t xml:space="preserve">Nombre: </w:t>
            </w:r>
            <w:r w:rsidRPr="00CD459A">
              <w:rPr>
                <w:rFonts w:ascii="Verdana" w:hAnsi="Verdana" w:cs="Arial"/>
                <w:i/>
              </w:rPr>
              <w:t>Jorge Alberto Calderón Cardenas</w:t>
            </w:r>
          </w:p>
          <w:p w14:paraId="06EFEFC7" w14:textId="77777777" w:rsidR="007C7EF4" w:rsidRPr="00CD459A" w:rsidRDefault="007C7EF4" w:rsidP="003B74CE">
            <w:pPr>
              <w:pStyle w:val="Piedepgina"/>
              <w:tabs>
                <w:tab w:val="center" w:pos="4325"/>
              </w:tabs>
              <w:ind w:right="-70"/>
              <w:jc w:val="both"/>
              <w:rPr>
                <w:rFonts w:ascii="Verdana" w:hAnsi="Verdana" w:cs="Arial"/>
                <w:b/>
              </w:rPr>
            </w:pPr>
            <w:r w:rsidRPr="00CD459A">
              <w:rPr>
                <w:rFonts w:ascii="Verdana" w:hAnsi="Verdana" w:cs="Arial"/>
                <w:b/>
              </w:rPr>
              <w:t>Cargo:</w:t>
            </w:r>
            <w:r w:rsidRPr="00CD459A">
              <w:rPr>
                <w:rFonts w:ascii="Verdana" w:hAnsi="Verdana" w:cs="Arial"/>
                <w:b/>
                <w:i/>
              </w:rPr>
              <w:t xml:space="preserve"> </w:t>
            </w:r>
            <w:proofErr w:type="gramStart"/>
            <w:r w:rsidRPr="00CD459A">
              <w:rPr>
                <w:rFonts w:ascii="Verdana" w:hAnsi="Verdana" w:cs="Arial"/>
                <w:i/>
              </w:rPr>
              <w:t>Subdirector</w:t>
            </w:r>
            <w:proofErr w:type="gramEnd"/>
            <w:r w:rsidRPr="00CD459A">
              <w:rPr>
                <w:rFonts w:ascii="Verdana" w:hAnsi="Verdana" w:cs="Arial"/>
                <w:i/>
              </w:rPr>
              <w:t xml:space="preserve"> Técnico</w:t>
            </w:r>
          </w:p>
          <w:p w14:paraId="3DCE5506" w14:textId="77777777" w:rsidR="007C7EF4" w:rsidRPr="00CD459A" w:rsidRDefault="007C7EF4" w:rsidP="003B74CE">
            <w:pPr>
              <w:pStyle w:val="Piedepgina"/>
              <w:ind w:right="360"/>
              <w:jc w:val="both"/>
              <w:rPr>
                <w:rFonts w:ascii="Verdana" w:hAnsi="Verdana" w:cs="Arial"/>
                <w:b/>
              </w:rPr>
            </w:pPr>
            <w:r w:rsidRPr="00CD459A">
              <w:rPr>
                <w:rFonts w:ascii="Verdana" w:hAnsi="Verdana" w:cs="Arial"/>
                <w:b/>
              </w:rPr>
              <w:t>Fecha:</w:t>
            </w:r>
            <w:r w:rsidRPr="00CD459A">
              <w:rPr>
                <w:rFonts w:ascii="Verdana" w:hAnsi="Verdana" w:cs="Arial"/>
                <w:bCs/>
                <w:i/>
                <w:iCs/>
              </w:rPr>
              <w:t>02-02-2022</w:t>
            </w:r>
          </w:p>
        </w:tc>
      </w:tr>
    </w:tbl>
    <w:p w14:paraId="3E9C0204" w14:textId="77777777" w:rsidR="007C7EF4" w:rsidRPr="00CD459A" w:rsidRDefault="007C7EF4" w:rsidP="007C7EF4">
      <w:pPr>
        <w:jc w:val="both"/>
        <w:rPr>
          <w:rFonts w:ascii="Verdana" w:hAnsi="Verdana" w:cs="Arial"/>
        </w:rPr>
      </w:pPr>
    </w:p>
    <w:p w14:paraId="15B4CF00" w14:textId="77777777" w:rsidR="007C7EF4" w:rsidRDefault="007C7EF4" w:rsidP="007C7EF4">
      <w:pPr>
        <w:rPr>
          <w:rFonts w:ascii="Verdana" w:hAnsi="Verdana"/>
          <w:lang w:val="es-ES"/>
        </w:rPr>
      </w:pPr>
    </w:p>
    <w:p w14:paraId="15EB9598" w14:textId="77777777" w:rsidR="00CD459A" w:rsidRDefault="00CD459A" w:rsidP="007C7EF4">
      <w:pPr>
        <w:rPr>
          <w:rFonts w:ascii="Verdana" w:hAnsi="Verdana"/>
          <w:lang w:val="es-ES"/>
        </w:rPr>
      </w:pPr>
    </w:p>
    <w:p w14:paraId="0AEBB8A6" w14:textId="77777777" w:rsidR="00CD459A" w:rsidRPr="00CD459A" w:rsidRDefault="00CD459A" w:rsidP="007C7EF4">
      <w:pPr>
        <w:rPr>
          <w:rFonts w:ascii="Verdana" w:hAnsi="Verdana"/>
          <w:lang w:val="es-ES"/>
        </w:rPr>
      </w:pPr>
    </w:p>
    <w:p w14:paraId="49BE8C00" w14:textId="77777777" w:rsidR="007C7EF4" w:rsidRPr="00CD459A" w:rsidRDefault="007C7EF4" w:rsidP="007C7EF4">
      <w:pPr>
        <w:rPr>
          <w:rFonts w:ascii="Verdana" w:hAnsi="Verdana"/>
          <w:lang w:val="es-ES"/>
        </w:rPr>
      </w:pPr>
    </w:p>
    <w:p w14:paraId="61637B47" w14:textId="77777777" w:rsidR="007C7EF4" w:rsidRPr="00CD459A" w:rsidRDefault="007C7EF4" w:rsidP="007C7EF4">
      <w:pPr>
        <w:rPr>
          <w:rFonts w:ascii="Verdana" w:hAnsi="Verdana"/>
          <w:lang w:val="es-ES"/>
        </w:rPr>
        <w:sectPr w:rsidR="007C7EF4" w:rsidRPr="00CD459A" w:rsidSect="009A384B">
          <w:headerReference w:type="default" r:id="rId14"/>
          <w:pgSz w:w="12240" w:h="15840"/>
          <w:pgMar w:top="1684" w:right="1701" w:bottom="1417" w:left="1701" w:header="708" w:footer="708" w:gutter="0"/>
          <w:cols w:space="708"/>
          <w:docGrid w:linePitch="360"/>
        </w:sectPr>
      </w:pPr>
    </w:p>
    <w:p w14:paraId="0310679E" w14:textId="4EF08161" w:rsidR="0089045F" w:rsidRPr="00CD459A" w:rsidRDefault="009464B6" w:rsidP="00BA65FB">
      <w:pPr>
        <w:ind w:firstLine="708"/>
        <w:rPr>
          <w:rFonts w:ascii="Verdana" w:hAnsi="Verdana"/>
          <w:lang w:val="es-ES"/>
        </w:rPr>
      </w:pPr>
      <w:r w:rsidRPr="00CD459A">
        <w:rPr>
          <w:rFonts w:ascii="Verdana" w:hAnsi="Verdana"/>
          <w:noProof/>
          <w:lang w:eastAsia="es-CO"/>
        </w:rPr>
        <w:drawing>
          <wp:anchor distT="0" distB="0" distL="114300" distR="114300" simplePos="0" relativeHeight="251669504" behindDoc="1" locked="0" layoutInCell="1" allowOverlap="1" wp14:anchorId="7BA03FD9" wp14:editId="399D6431">
            <wp:simplePos x="0" y="0"/>
            <wp:positionH relativeFrom="column">
              <wp:posOffset>-1064094</wp:posOffset>
            </wp:positionH>
            <wp:positionV relativeFrom="paragraph">
              <wp:posOffset>-1053298</wp:posOffset>
            </wp:positionV>
            <wp:extent cx="7785077" cy="10074442"/>
            <wp:effectExtent l="0" t="0" r="635"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788397" cy="10078739"/>
                    </a:xfrm>
                    <a:prstGeom prst="rect">
                      <a:avLst/>
                    </a:prstGeom>
                  </pic:spPr>
                </pic:pic>
              </a:graphicData>
            </a:graphic>
            <wp14:sizeRelH relativeFrom="page">
              <wp14:pctWidth>0</wp14:pctWidth>
            </wp14:sizeRelH>
            <wp14:sizeRelV relativeFrom="page">
              <wp14:pctHeight>0</wp14:pctHeight>
            </wp14:sizeRelV>
          </wp:anchor>
        </w:drawing>
      </w:r>
      <w:r w:rsidR="0092577E" w:rsidRPr="00CD459A">
        <w:rPr>
          <w:rFonts w:ascii="Verdana" w:hAnsi="Verdana"/>
          <w:noProof/>
          <w:lang w:eastAsia="es-CO"/>
        </w:rPr>
        <mc:AlternateContent>
          <mc:Choice Requires="wps">
            <w:drawing>
              <wp:anchor distT="0" distB="0" distL="114300" distR="114300" simplePos="0" relativeHeight="251667456" behindDoc="0" locked="0" layoutInCell="1" allowOverlap="1" wp14:anchorId="5B95EB75" wp14:editId="7CE6F58B">
                <wp:simplePos x="0" y="0"/>
                <wp:positionH relativeFrom="margin">
                  <wp:posOffset>2063750</wp:posOffset>
                </wp:positionH>
                <wp:positionV relativeFrom="paragraph">
                  <wp:posOffset>7047698</wp:posOffset>
                </wp:positionV>
                <wp:extent cx="4040372" cy="1155032"/>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4040372" cy="1155032"/>
                        </a:xfrm>
                        <a:prstGeom prst="rect">
                          <a:avLst/>
                        </a:prstGeom>
                        <a:noFill/>
                        <a:ln w="6350">
                          <a:noFill/>
                        </a:ln>
                      </wps:spPr>
                      <wps:txbx>
                        <w:txbxContent>
                          <w:p w14:paraId="0E88993C" w14:textId="77777777" w:rsidR="00BA65FB" w:rsidRPr="0092577E" w:rsidRDefault="00BA65FB" w:rsidP="009464B6">
                            <w:pPr>
                              <w:spacing w:after="0"/>
                              <w:jc w:val="right"/>
                              <w:rPr>
                                <w:rFonts w:ascii="Verdana" w:hAnsi="Verdana"/>
                                <w:b/>
                                <w:bCs/>
                                <w:sz w:val="20"/>
                                <w:szCs w:val="20"/>
                              </w:rPr>
                            </w:pPr>
                            <w:r w:rsidRPr="0092577E">
                              <w:rPr>
                                <w:rFonts w:ascii="Verdana" w:hAnsi="Verdana"/>
                                <w:b/>
                                <w:bCs/>
                                <w:sz w:val="20"/>
                                <w:szCs w:val="20"/>
                              </w:rPr>
                              <w:t>Ministerio de Hacienda y Crédito Público</w:t>
                            </w:r>
                          </w:p>
                          <w:p w14:paraId="296B502A" w14:textId="77777777" w:rsidR="00BA65FB" w:rsidRPr="0092577E" w:rsidRDefault="00BA65FB" w:rsidP="009464B6">
                            <w:pPr>
                              <w:spacing w:after="0"/>
                              <w:jc w:val="right"/>
                              <w:rPr>
                                <w:rFonts w:ascii="Verdana" w:hAnsi="Verdana"/>
                                <w:sz w:val="20"/>
                                <w:szCs w:val="20"/>
                              </w:rPr>
                            </w:pPr>
                            <w:r w:rsidRPr="0092577E">
                              <w:rPr>
                                <w:rFonts w:ascii="Verdana" w:hAnsi="Verdana"/>
                                <w:sz w:val="20"/>
                                <w:szCs w:val="20"/>
                              </w:rPr>
                              <w:t>Dirección: Carrera 8 No. 6C–38, Bogotá D.C., Colombia</w:t>
                            </w:r>
                          </w:p>
                          <w:p w14:paraId="14EF2C09" w14:textId="77777777" w:rsidR="00BA65FB" w:rsidRPr="0092577E" w:rsidRDefault="00BA65FB" w:rsidP="009464B6">
                            <w:pPr>
                              <w:spacing w:after="0"/>
                              <w:jc w:val="right"/>
                              <w:rPr>
                                <w:rFonts w:ascii="Verdana" w:hAnsi="Verdana"/>
                                <w:sz w:val="20"/>
                                <w:szCs w:val="20"/>
                              </w:rPr>
                            </w:pPr>
                            <w:r w:rsidRPr="0092577E">
                              <w:rPr>
                                <w:rFonts w:ascii="Verdana" w:hAnsi="Verdana"/>
                                <w:sz w:val="20"/>
                                <w:szCs w:val="20"/>
                              </w:rPr>
                              <w:t>Conmutador: (+57) 601 3 81 17 00</w:t>
                            </w:r>
                          </w:p>
                          <w:p w14:paraId="36790167" w14:textId="650C213B" w:rsidR="00BA65FB" w:rsidRPr="0092577E" w:rsidRDefault="00BA65FB" w:rsidP="009464B6">
                            <w:pPr>
                              <w:spacing w:after="0"/>
                              <w:jc w:val="right"/>
                              <w:rPr>
                                <w:rFonts w:ascii="Verdana" w:hAnsi="Verdana"/>
                                <w:sz w:val="20"/>
                                <w:szCs w:val="20"/>
                              </w:rPr>
                            </w:pPr>
                            <w:r w:rsidRPr="0092577E">
                              <w:rPr>
                                <w:rFonts w:ascii="Verdana" w:hAnsi="Verdana"/>
                                <w:sz w:val="20"/>
                                <w:szCs w:val="20"/>
                              </w:rPr>
                              <w:t>Línea Gratuita: (+57) 01 8000 910071</w:t>
                            </w:r>
                          </w:p>
                          <w:p w14:paraId="1D63B89D" w14:textId="1114D8D2" w:rsidR="00BA65FB" w:rsidRDefault="00BA65FB" w:rsidP="009464B6">
                            <w:pPr>
                              <w:spacing w:after="0"/>
                              <w:jc w:val="right"/>
                              <w:rPr>
                                <w:rFonts w:ascii="Verdana" w:hAnsi="Verdana"/>
                                <w:sz w:val="20"/>
                                <w:szCs w:val="20"/>
                              </w:rPr>
                            </w:pPr>
                            <w:r w:rsidRPr="0092577E">
                              <w:rPr>
                                <w:rFonts w:ascii="Verdana" w:hAnsi="Verdana"/>
                                <w:sz w:val="20"/>
                                <w:szCs w:val="20"/>
                              </w:rPr>
                              <w:t xml:space="preserve">Correo: </w:t>
                            </w:r>
                            <w:hyperlink r:id="rId16" w:history="1">
                              <w:r w:rsidRPr="0092577E">
                                <w:rPr>
                                  <w:rFonts w:ascii="Verdana" w:hAnsi="Verdana"/>
                                  <w:sz w:val="20"/>
                                  <w:szCs w:val="20"/>
                                </w:rPr>
                                <w:t>relacionciudadano@minhacienda.gov.co</w:t>
                              </w:r>
                            </w:hyperlink>
                          </w:p>
                          <w:p w14:paraId="67CEAFFA" w14:textId="15AB05EA" w:rsidR="009464B6" w:rsidRPr="0092577E" w:rsidRDefault="009464B6" w:rsidP="00A3176B">
                            <w:pPr>
                              <w:spacing w:after="0"/>
                              <w:jc w:val="center"/>
                              <w:rPr>
                                <w:rFonts w:ascii="Verdana" w:hAnsi="Verdana"/>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5EB75" id="Cuadro de texto 1" o:spid="_x0000_s1029" type="#_x0000_t202" style="position:absolute;left:0;text-align:left;margin-left:162.5pt;margin-top:554.95pt;width:318.15pt;height:90.9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" filled="f" stroked="f" strokeweight=".5pt">
                <v:textbox>
                  <w:txbxContent>
                    <w:p w14:paraId="0E88993C" w14:textId="77777777" w:rsidR="00BA65FB" w:rsidRPr="0092577E" w:rsidRDefault="00BA65FB" w:rsidP="009464B6">
                      <w:pPr>
                        <w:spacing w:after="0"/>
                        <w:jc w:val="right"/>
                        <w:rPr>
                          <w:rFonts w:ascii="Verdana" w:hAnsi="Verdana"/>
                          <w:b/>
                          <w:bCs/>
                          <w:sz w:val="20"/>
                          <w:szCs w:val="20"/>
                        </w:rPr>
                      </w:pPr>
                      <w:r w:rsidRPr="0092577E">
                        <w:rPr>
                          <w:rFonts w:ascii="Verdana" w:hAnsi="Verdana"/>
                          <w:b/>
                          <w:bCs/>
                          <w:sz w:val="20"/>
                          <w:szCs w:val="20"/>
                        </w:rPr>
                        <w:t>Ministerio de Hacienda y Crédito Público</w:t>
                      </w:r>
                    </w:p>
                    <w:p w14:paraId="296B502A" w14:textId="77777777" w:rsidR="00BA65FB" w:rsidRPr="0092577E" w:rsidRDefault="00BA65FB" w:rsidP="009464B6">
                      <w:pPr>
                        <w:spacing w:after="0"/>
                        <w:jc w:val="right"/>
                        <w:rPr>
                          <w:rFonts w:ascii="Verdana" w:hAnsi="Verdana"/>
                          <w:sz w:val="20"/>
                          <w:szCs w:val="20"/>
                        </w:rPr>
                      </w:pPr>
                      <w:r w:rsidRPr="0092577E">
                        <w:rPr>
                          <w:rFonts w:ascii="Verdana" w:hAnsi="Verdana"/>
                          <w:sz w:val="20"/>
                          <w:szCs w:val="20"/>
                        </w:rPr>
                        <w:t>Dirección: Carrera 8 No. 6C–38, Bogotá D.C., Colombia</w:t>
                      </w:r>
                    </w:p>
                    <w:p w14:paraId="14EF2C09" w14:textId="77777777" w:rsidR="00BA65FB" w:rsidRPr="0092577E" w:rsidRDefault="00BA65FB" w:rsidP="009464B6">
                      <w:pPr>
                        <w:spacing w:after="0"/>
                        <w:jc w:val="right"/>
                        <w:rPr>
                          <w:rFonts w:ascii="Verdana" w:hAnsi="Verdana"/>
                          <w:sz w:val="20"/>
                          <w:szCs w:val="20"/>
                        </w:rPr>
                      </w:pPr>
                      <w:r w:rsidRPr="0092577E">
                        <w:rPr>
                          <w:rFonts w:ascii="Verdana" w:hAnsi="Verdana"/>
                          <w:sz w:val="20"/>
                          <w:szCs w:val="20"/>
                        </w:rPr>
                        <w:t>Conmutador: (+57) 601 3 81 17 00</w:t>
                      </w:r>
                    </w:p>
                    <w:p w14:paraId="36790167" w14:textId="650C213B" w:rsidR="00BA65FB" w:rsidRPr="0092577E" w:rsidRDefault="00BA65FB" w:rsidP="009464B6">
                      <w:pPr>
                        <w:spacing w:after="0"/>
                        <w:jc w:val="right"/>
                        <w:rPr>
                          <w:rFonts w:ascii="Verdana" w:hAnsi="Verdana"/>
                          <w:sz w:val="20"/>
                          <w:szCs w:val="20"/>
                        </w:rPr>
                      </w:pPr>
                      <w:r w:rsidRPr="0092577E">
                        <w:rPr>
                          <w:rFonts w:ascii="Verdana" w:hAnsi="Verdana"/>
                          <w:sz w:val="20"/>
                          <w:szCs w:val="20"/>
                        </w:rPr>
                        <w:t>Línea Gratuita: (+57) 01 8000 910071</w:t>
                      </w:r>
                    </w:p>
                    <w:p w14:paraId="1D63B89D" w14:textId="1114D8D2" w:rsidR="00BA65FB" w:rsidRDefault="00BA65FB" w:rsidP="009464B6">
                      <w:pPr>
                        <w:spacing w:after="0"/>
                        <w:jc w:val="right"/>
                        <w:rPr>
                          <w:rFonts w:ascii="Verdana" w:hAnsi="Verdana"/>
                          <w:sz w:val="20"/>
                          <w:szCs w:val="20"/>
                        </w:rPr>
                      </w:pPr>
                      <w:r w:rsidRPr="0092577E">
                        <w:rPr>
                          <w:rFonts w:ascii="Verdana" w:hAnsi="Verdana"/>
                          <w:sz w:val="20"/>
                          <w:szCs w:val="20"/>
                        </w:rPr>
                        <w:t xml:space="preserve">Correo: </w:t>
                      </w:r>
                      <w:hyperlink r:id="rId17" w:history="1">
                        <w:r w:rsidRPr="0092577E">
                          <w:rPr>
                            <w:rFonts w:ascii="Verdana" w:hAnsi="Verdana"/>
                            <w:sz w:val="20"/>
                            <w:szCs w:val="20"/>
                          </w:rPr>
                          <w:t>relacionciudadano@minhacienda.gov.co</w:t>
                        </w:r>
                      </w:hyperlink>
                    </w:p>
                    <w:p w14:paraId="67CEAFFA" w14:textId="15AB05EA" w:rsidR="009464B6" w:rsidRPr="0092577E" w:rsidRDefault="009464B6" w:rsidP="00A3176B">
                      <w:pPr>
                        <w:spacing w:after="0"/>
                        <w:jc w:val="center"/>
                        <w:rPr>
                          <w:rFonts w:ascii="Verdana" w:hAnsi="Verdana"/>
                          <w:sz w:val="20"/>
                          <w:szCs w:val="20"/>
                        </w:rPr>
                      </w:pPr>
                    </w:p>
                  </w:txbxContent>
                </v:textbox>
                <w10:wrap anchorx="margin"/>
              </v:shape>
            </w:pict>
          </mc:Fallback>
        </mc:AlternateContent>
      </w:r>
    </w:p>
    <w:sectPr w:rsidR="0089045F" w:rsidRPr="00CD459A" w:rsidSect="009A384B">
      <w:headerReference w:type="default" r:id="rId18"/>
      <w:pgSz w:w="12240" w:h="15840"/>
      <w:pgMar w:top="1684"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18B01" w14:textId="77777777" w:rsidR="00F57CEC" w:rsidRDefault="00F57CEC" w:rsidP="00FF09A0">
      <w:pPr>
        <w:spacing w:after="0" w:line="240" w:lineRule="auto"/>
      </w:pPr>
      <w:r>
        <w:separator/>
      </w:r>
    </w:p>
  </w:endnote>
  <w:endnote w:type="continuationSeparator" w:id="0">
    <w:p w14:paraId="6AF4C1A1" w14:textId="77777777" w:rsidR="00F57CEC" w:rsidRDefault="00F57CEC" w:rsidP="00FF0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Ubuntu">
    <w:charset w:val="00"/>
    <w:family w:val="swiss"/>
    <w:pitch w:val="variable"/>
    <w:sig w:usb0="E00002FF" w:usb1="5000205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Formata LightCondensed">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FDBAA" w14:textId="77777777" w:rsidR="00354394" w:rsidRDefault="00354394" w:rsidP="00354394">
    <w:pPr>
      <w:pStyle w:val="Piedepgina"/>
      <w:rPr>
        <w:rFonts w:ascii="Arial Narrow" w:hAnsi="Arial Narrow"/>
        <w:sz w:val="16"/>
        <w:szCs w:val="16"/>
      </w:rPr>
    </w:pPr>
  </w:p>
  <w:p w14:paraId="7E0D367F" w14:textId="77777777" w:rsidR="00354394" w:rsidRDefault="0035439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CD13B" w14:textId="77777777" w:rsidR="00F57CEC" w:rsidRDefault="00F57CEC" w:rsidP="00FF09A0">
      <w:pPr>
        <w:spacing w:after="0" w:line="240" w:lineRule="auto"/>
      </w:pPr>
      <w:r>
        <w:separator/>
      </w:r>
    </w:p>
  </w:footnote>
  <w:footnote w:type="continuationSeparator" w:id="0">
    <w:p w14:paraId="2A7258CC" w14:textId="77777777" w:rsidR="00F57CEC" w:rsidRDefault="00F57CEC" w:rsidP="00FF09A0">
      <w:pPr>
        <w:spacing w:after="0" w:line="240" w:lineRule="auto"/>
      </w:pPr>
      <w:r>
        <w:continuationSeparator/>
      </w:r>
    </w:p>
  </w:footnote>
  <w:footnote w:id="1">
    <w:p w14:paraId="02063550" w14:textId="77777777" w:rsidR="007C7EF4" w:rsidRPr="00307B66" w:rsidRDefault="007C7EF4" w:rsidP="007C7EF4">
      <w:pPr>
        <w:pStyle w:val="Textonotapie"/>
        <w:rPr>
          <w:rFonts w:ascii="Arial" w:hAnsi="Arial"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A91EB" w14:textId="344B4A58" w:rsidR="00DB369A" w:rsidRPr="00DB369A" w:rsidRDefault="00DB369A" w:rsidP="00DB369A">
    <w:pPr>
      <w:pStyle w:val="Encabezado"/>
    </w:pPr>
  </w:p>
  <w:tbl>
    <w:tblPr>
      <w:tblW w:w="9640" w:type="dxa"/>
      <w:tblInd w:w="-431" w:type="dxa"/>
      <w:tblCellMar>
        <w:left w:w="70" w:type="dxa"/>
        <w:right w:w="70" w:type="dxa"/>
      </w:tblCellMar>
      <w:tblLook w:val="04A0" w:firstRow="1" w:lastRow="0" w:firstColumn="1" w:lastColumn="0" w:noHBand="0" w:noVBand="1"/>
    </w:tblPr>
    <w:tblGrid>
      <w:gridCol w:w="1277"/>
      <w:gridCol w:w="2126"/>
      <w:gridCol w:w="160"/>
      <w:gridCol w:w="995"/>
      <w:gridCol w:w="968"/>
      <w:gridCol w:w="166"/>
      <w:gridCol w:w="263"/>
      <w:gridCol w:w="160"/>
      <w:gridCol w:w="974"/>
      <w:gridCol w:w="567"/>
      <w:gridCol w:w="160"/>
      <w:gridCol w:w="832"/>
      <w:gridCol w:w="992"/>
    </w:tblGrid>
    <w:tr w:rsidR="00DB369A" w:rsidRPr="00DB369A" w14:paraId="6976D5D7" w14:textId="77777777" w:rsidTr="007E3DC4">
      <w:trPr>
        <w:trHeight w:val="98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CCCE5" w14:textId="3738A5F3" w:rsidR="00DB369A" w:rsidRPr="00DB369A" w:rsidRDefault="00DB369A" w:rsidP="00DB369A">
          <w:pPr>
            <w:spacing w:after="0" w:line="240" w:lineRule="auto"/>
            <w:rPr>
              <w:rFonts w:ascii="Verdana" w:eastAsia="Times New Roman" w:hAnsi="Verdana" w:cs="Calibri"/>
              <w:color w:val="000000"/>
              <w:sz w:val="18"/>
              <w:szCs w:val="18"/>
              <w:lang w:eastAsia="es-MX"/>
            </w:rPr>
          </w:pPr>
          <w:r>
            <w:rPr>
              <w:rFonts w:ascii="Calibri" w:eastAsia="Times New Roman" w:hAnsi="Calibri" w:cs="Calibri"/>
              <w:noProof/>
              <w:color w:val="000000"/>
              <w:sz w:val="24"/>
              <w:szCs w:val="24"/>
              <w:lang w:eastAsia="es-MX"/>
            </w:rPr>
            <w:drawing>
              <wp:anchor distT="0" distB="0" distL="114300" distR="114300" simplePos="0" relativeHeight="251659264" behindDoc="0" locked="0" layoutInCell="1" allowOverlap="1" wp14:anchorId="6AF6A539" wp14:editId="2AD75245">
                <wp:simplePos x="0" y="0"/>
                <wp:positionH relativeFrom="column">
                  <wp:posOffset>33655</wp:posOffset>
                </wp:positionH>
                <wp:positionV relativeFrom="paragraph">
                  <wp:posOffset>-8255</wp:posOffset>
                </wp:positionV>
                <wp:extent cx="645160" cy="460375"/>
                <wp:effectExtent l="0" t="0" r="2540" b="0"/>
                <wp:wrapNone/>
                <wp:docPr id="15759034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03420" name="Imagen 1575903420"/>
                        <pic:cNvPicPr/>
                      </pic:nvPicPr>
                      <pic:blipFill>
                        <a:blip r:embed="rId1">
                          <a:extLst>
                            <a:ext uri="{28A0092B-C50C-407E-A947-70E740481C1C}">
                              <a14:useLocalDpi xmlns:a14="http://schemas.microsoft.com/office/drawing/2010/main" val="0"/>
                            </a:ext>
                          </a:extLst>
                        </a:blip>
                        <a:stretch>
                          <a:fillRect/>
                        </a:stretch>
                      </pic:blipFill>
                      <pic:spPr>
                        <a:xfrm>
                          <a:off x="0" y="0"/>
                          <a:ext cx="645160" cy="460375"/>
                        </a:xfrm>
                        <a:prstGeom prst="rect">
                          <a:avLst/>
                        </a:prstGeom>
                      </pic:spPr>
                    </pic:pic>
                  </a:graphicData>
                </a:graphic>
                <wp14:sizeRelH relativeFrom="page">
                  <wp14:pctWidth>0</wp14:pctWidth>
                </wp14:sizeRelH>
                <wp14:sizeRelV relativeFrom="page">
                  <wp14:pctHeight>0</wp14:pctHeight>
                </wp14:sizeRelV>
              </wp:anchor>
            </w:drawing>
          </w:r>
          <w:r w:rsidRPr="00DB369A">
            <w:rPr>
              <w:rFonts w:ascii="Verdana" w:eastAsia="Times New Roman" w:hAnsi="Verdana" w:cs="Calibri"/>
              <w:color w:val="000000"/>
              <w:sz w:val="18"/>
              <w:szCs w:val="18"/>
              <w:lang w:eastAsia="es-MX"/>
            </w:rPr>
            <w:t> </w:t>
          </w:r>
        </w:p>
      </w:tc>
      <w:tc>
        <w:tcPr>
          <w:tcW w:w="8363" w:type="dxa"/>
          <w:gridSpan w:val="12"/>
          <w:tcBorders>
            <w:top w:val="single" w:sz="4" w:space="0" w:color="auto"/>
            <w:left w:val="nil"/>
            <w:bottom w:val="single" w:sz="4" w:space="0" w:color="auto"/>
            <w:right w:val="single" w:sz="4" w:space="0" w:color="000000"/>
          </w:tcBorders>
          <w:shd w:val="clear" w:color="auto" w:fill="auto"/>
          <w:noWrap/>
          <w:vAlign w:val="center"/>
          <w:hideMark/>
        </w:tcPr>
        <w:p w14:paraId="7D1D55F0" w14:textId="0A2BA11C" w:rsidR="00DB369A" w:rsidRPr="00F9091F" w:rsidRDefault="00DB369A" w:rsidP="00DB369A">
          <w:pPr>
            <w:spacing w:after="0" w:line="240" w:lineRule="auto"/>
            <w:jc w:val="center"/>
            <w:rPr>
              <w:rFonts w:ascii="Verdana" w:eastAsia="Times New Roman" w:hAnsi="Verdana" w:cs="Calibri"/>
              <w:b/>
              <w:bCs/>
              <w:color w:val="000000"/>
              <w:sz w:val="24"/>
              <w:szCs w:val="24"/>
              <w:lang w:eastAsia="es-MX"/>
            </w:rPr>
          </w:pPr>
          <w:r w:rsidRPr="00DB369A">
            <w:rPr>
              <w:rFonts w:ascii="Verdana" w:eastAsia="Times New Roman" w:hAnsi="Verdana" w:cs="Calibri"/>
              <w:color w:val="000000"/>
              <w:sz w:val="24"/>
              <w:szCs w:val="24"/>
              <w:lang w:eastAsia="es-MX"/>
            </w:rPr>
            <w:t> </w:t>
          </w:r>
          <w:r w:rsidR="00F9091F" w:rsidRPr="00F9091F">
            <w:rPr>
              <w:rFonts w:ascii="Verdana" w:eastAsia="Times New Roman" w:hAnsi="Verdana" w:cs="Calibri"/>
              <w:b/>
              <w:bCs/>
              <w:color w:val="000000"/>
              <w:sz w:val="24"/>
              <w:szCs w:val="24"/>
              <w:lang w:eastAsia="es-MX"/>
            </w:rPr>
            <w:t>Título</w:t>
          </w:r>
        </w:p>
      </w:tc>
    </w:tr>
    <w:tr w:rsidR="00DB6799" w:rsidRPr="00DB369A" w14:paraId="3AC3CDB6" w14:textId="77777777" w:rsidTr="007E3DC4">
      <w:trPr>
        <w:trHeight w:val="120"/>
      </w:trPr>
      <w:tc>
        <w:tcPr>
          <w:tcW w:w="1277" w:type="dxa"/>
          <w:tcBorders>
            <w:top w:val="nil"/>
            <w:left w:val="nil"/>
            <w:bottom w:val="nil"/>
            <w:right w:val="nil"/>
          </w:tcBorders>
          <w:shd w:val="clear" w:color="auto" w:fill="auto"/>
          <w:noWrap/>
          <w:vAlign w:val="center"/>
          <w:hideMark/>
        </w:tcPr>
        <w:p w14:paraId="0EF68A7A" w14:textId="77777777" w:rsidR="00DB369A" w:rsidRPr="00DB369A" w:rsidRDefault="00DB369A" w:rsidP="00DB369A">
          <w:pPr>
            <w:spacing w:after="0" w:line="240" w:lineRule="auto"/>
            <w:jc w:val="center"/>
            <w:rPr>
              <w:rFonts w:ascii="Verdana" w:eastAsia="Times New Roman" w:hAnsi="Verdana" w:cs="Calibri"/>
              <w:color w:val="000000"/>
              <w:sz w:val="24"/>
              <w:szCs w:val="24"/>
              <w:lang w:eastAsia="es-MX"/>
            </w:rPr>
          </w:pPr>
        </w:p>
      </w:tc>
      <w:tc>
        <w:tcPr>
          <w:tcW w:w="2126" w:type="dxa"/>
          <w:tcBorders>
            <w:top w:val="nil"/>
            <w:left w:val="nil"/>
            <w:bottom w:val="nil"/>
            <w:right w:val="nil"/>
          </w:tcBorders>
          <w:shd w:val="clear" w:color="auto" w:fill="auto"/>
          <w:noWrap/>
          <w:vAlign w:val="center"/>
          <w:hideMark/>
        </w:tcPr>
        <w:p w14:paraId="232B16FB"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160" w:type="dxa"/>
          <w:tcBorders>
            <w:top w:val="nil"/>
            <w:left w:val="nil"/>
            <w:bottom w:val="nil"/>
            <w:right w:val="nil"/>
          </w:tcBorders>
          <w:shd w:val="clear" w:color="auto" w:fill="auto"/>
          <w:noWrap/>
          <w:vAlign w:val="center"/>
          <w:hideMark/>
        </w:tcPr>
        <w:p w14:paraId="471D588D"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995" w:type="dxa"/>
          <w:tcBorders>
            <w:top w:val="nil"/>
            <w:left w:val="nil"/>
            <w:bottom w:val="nil"/>
            <w:right w:val="nil"/>
          </w:tcBorders>
          <w:shd w:val="clear" w:color="auto" w:fill="auto"/>
          <w:noWrap/>
          <w:vAlign w:val="center"/>
          <w:hideMark/>
        </w:tcPr>
        <w:p w14:paraId="4BDAE9FF"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968" w:type="dxa"/>
          <w:tcBorders>
            <w:top w:val="nil"/>
            <w:left w:val="nil"/>
            <w:bottom w:val="nil"/>
            <w:right w:val="nil"/>
          </w:tcBorders>
          <w:shd w:val="clear" w:color="auto" w:fill="auto"/>
          <w:noWrap/>
          <w:vAlign w:val="center"/>
          <w:hideMark/>
        </w:tcPr>
        <w:p w14:paraId="284FAE22"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166" w:type="dxa"/>
          <w:tcBorders>
            <w:top w:val="nil"/>
            <w:left w:val="nil"/>
            <w:bottom w:val="nil"/>
            <w:right w:val="nil"/>
          </w:tcBorders>
          <w:shd w:val="clear" w:color="auto" w:fill="auto"/>
          <w:noWrap/>
          <w:vAlign w:val="center"/>
          <w:hideMark/>
        </w:tcPr>
        <w:p w14:paraId="13D827AB"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1397" w:type="dxa"/>
          <w:gridSpan w:val="3"/>
          <w:tcBorders>
            <w:top w:val="nil"/>
            <w:left w:val="nil"/>
            <w:bottom w:val="nil"/>
            <w:right w:val="nil"/>
          </w:tcBorders>
          <w:shd w:val="clear" w:color="auto" w:fill="auto"/>
          <w:noWrap/>
          <w:vAlign w:val="center"/>
          <w:hideMark/>
        </w:tcPr>
        <w:p w14:paraId="66769260"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567" w:type="dxa"/>
          <w:tcBorders>
            <w:top w:val="nil"/>
            <w:left w:val="nil"/>
            <w:bottom w:val="nil"/>
            <w:right w:val="nil"/>
          </w:tcBorders>
          <w:shd w:val="clear" w:color="auto" w:fill="auto"/>
          <w:noWrap/>
          <w:vAlign w:val="center"/>
          <w:hideMark/>
        </w:tcPr>
        <w:p w14:paraId="6DDA631C"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160" w:type="dxa"/>
          <w:tcBorders>
            <w:top w:val="nil"/>
            <w:left w:val="nil"/>
            <w:bottom w:val="nil"/>
            <w:right w:val="nil"/>
          </w:tcBorders>
          <w:shd w:val="clear" w:color="auto" w:fill="auto"/>
          <w:noWrap/>
          <w:vAlign w:val="center"/>
          <w:hideMark/>
        </w:tcPr>
        <w:p w14:paraId="6E191B23"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832" w:type="dxa"/>
          <w:tcBorders>
            <w:top w:val="nil"/>
            <w:left w:val="nil"/>
            <w:bottom w:val="nil"/>
            <w:right w:val="nil"/>
          </w:tcBorders>
          <w:shd w:val="clear" w:color="auto" w:fill="auto"/>
          <w:noWrap/>
          <w:vAlign w:val="center"/>
          <w:hideMark/>
        </w:tcPr>
        <w:p w14:paraId="5432F231"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c>
        <w:tcPr>
          <w:tcW w:w="992" w:type="dxa"/>
          <w:tcBorders>
            <w:top w:val="nil"/>
            <w:left w:val="nil"/>
            <w:bottom w:val="nil"/>
            <w:right w:val="nil"/>
          </w:tcBorders>
          <w:shd w:val="clear" w:color="auto" w:fill="auto"/>
          <w:noWrap/>
          <w:vAlign w:val="center"/>
          <w:hideMark/>
        </w:tcPr>
        <w:p w14:paraId="418231F8" w14:textId="77777777" w:rsidR="00DB369A" w:rsidRPr="00DB369A" w:rsidRDefault="00DB369A" w:rsidP="00DB369A">
          <w:pPr>
            <w:spacing w:after="0" w:line="240" w:lineRule="auto"/>
            <w:rPr>
              <w:rFonts w:ascii="Times New Roman" w:eastAsia="Times New Roman" w:hAnsi="Times New Roman" w:cs="Times New Roman"/>
              <w:sz w:val="20"/>
              <w:szCs w:val="20"/>
              <w:lang w:eastAsia="es-MX"/>
            </w:rPr>
          </w:pPr>
        </w:p>
      </w:tc>
    </w:tr>
    <w:tr w:rsidR="00DB6799" w:rsidRPr="00DB369A" w14:paraId="72C614F4" w14:textId="77777777" w:rsidTr="007E3DC4">
      <w:trPr>
        <w:trHeight w:val="200"/>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79810" w14:textId="77777777" w:rsidR="00DB369A" w:rsidRPr="00DB6799" w:rsidRDefault="00DB369A"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Código:</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1251423B" w14:textId="17A0CD09" w:rsidR="00DB369A" w:rsidRPr="00DB6799" w:rsidRDefault="00DB369A"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p>
      </w:tc>
      <w:tc>
        <w:tcPr>
          <w:tcW w:w="160" w:type="dxa"/>
          <w:tcBorders>
            <w:top w:val="nil"/>
            <w:left w:val="nil"/>
            <w:bottom w:val="nil"/>
            <w:right w:val="nil"/>
          </w:tcBorders>
          <w:shd w:val="clear" w:color="auto" w:fill="auto"/>
          <w:noWrap/>
          <w:vAlign w:val="center"/>
          <w:hideMark/>
        </w:tcPr>
        <w:p w14:paraId="52668F8C" w14:textId="5D4393A6" w:rsidR="00DB369A" w:rsidRPr="00DB6799" w:rsidRDefault="00DB369A" w:rsidP="00DB369A">
          <w:pPr>
            <w:spacing w:after="0" w:line="240" w:lineRule="auto"/>
            <w:rPr>
              <w:rFonts w:ascii="Verdana" w:eastAsia="Times New Roman" w:hAnsi="Verdana" w:cs="Calibri"/>
              <w:color w:val="000000"/>
              <w:sz w:val="16"/>
              <w:szCs w:val="16"/>
              <w:lang w:eastAsia="es-MX"/>
            </w:rPr>
          </w:pP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DDDF4" w14:textId="77777777" w:rsidR="00DB369A" w:rsidRPr="00DB6799" w:rsidRDefault="00DB369A"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Fecha:</w:t>
          </w:r>
        </w:p>
      </w:tc>
      <w:tc>
        <w:tcPr>
          <w:tcW w:w="1397" w:type="dxa"/>
          <w:gridSpan w:val="3"/>
          <w:tcBorders>
            <w:top w:val="single" w:sz="4" w:space="0" w:color="auto"/>
            <w:left w:val="nil"/>
            <w:bottom w:val="single" w:sz="4" w:space="0" w:color="auto"/>
            <w:right w:val="single" w:sz="4" w:space="0" w:color="auto"/>
          </w:tcBorders>
          <w:shd w:val="clear" w:color="auto" w:fill="auto"/>
          <w:noWrap/>
          <w:vAlign w:val="center"/>
          <w:hideMark/>
        </w:tcPr>
        <w:p w14:paraId="1A58A94B" w14:textId="217BE6FA" w:rsidR="00DB369A" w:rsidRPr="00DB6799" w:rsidRDefault="00DB369A"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p>
      </w:tc>
      <w:tc>
        <w:tcPr>
          <w:tcW w:w="160" w:type="dxa"/>
          <w:tcBorders>
            <w:top w:val="nil"/>
            <w:left w:val="nil"/>
            <w:bottom w:val="nil"/>
            <w:right w:val="nil"/>
          </w:tcBorders>
          <w:shd w:val="clear" w:color="auto" w:fill="auto"/>
          <w:noWrap/>
          <w:vAlign w:val="center"/>
          <w:hideMark/>
        </w:tcPr>
        <w:p w14:paraId="566358F1" w14:textId="77777777" w:rsidR="00DB369A" w:rsidRPr="00DB6799" w:rsidRDefault="00DB369A" w:rsidP="00DB369A">
          <w:pPr>
            <w:spacing w:after="0" w:line="240" w:lineRule="auto"/>
            <w:rPr>
              <w:rFonts w:ascii="Verdana" w:eastAsia="Times New Roman" w:hAnsi="Verdana" w:cs="Calibri"/>
              <w:color w:val="000000"/>
              <w:sz w:val="16"/>
              <w:szCs w:val="16"/>
              <w:lang w:eastAsia="es-MX"/>
            </w:rPr>
          </w:pP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80652" w14:textId="77777777" w:rsidR="00DB369A" w:rsidRPr="00DB6799" w:rsidRDefault="00DB369A"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Versión:</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7F7396E" w14:textId="2958CA5B" w:rsidR="00DB369A" w:rsidRPr="00DB6799" w:rsidRDefault="00DB369A"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p>
      </w:tc>
      <w:tc>
        <w:tcPr>
          <w:tcW w:w="160" w:type="dxa"/>
          <w:tcBorders>
            <w:top w:val="nil"/>
            <w:left w:val="nil"/>
            <w:bottom w:val="nil"/>
            <w:right w:val="nil"/>
          </w:tcBorders>
          <w:shd w:val="clear" w:color="auto" w:fill="auto"/>
          <w:noWrap/>
          <w:vAlign w:val="center"/>
          <w:hideMark/>
        </w:tcPr>
        <w:p w14:paraId="0262E8F0" w14:textId="77777777" w:rsidR="00DB369A" w:rsidRPr="00DB6799" w:rsidRDefault="00DB369A" w:rsidP="00DB369A">
          <w:pPr>
            <w:spacing w:after="0" w:line="240" w:lineRule="auto"/>
            <w:rPr>
              <w:rFonts w:ascii="Verdana" w:eastAsia="Times New Roman" w:hAnsi="Verdana" w:cs="Calibri"/>
              <w:color w:val="000000"/>
              <w:sz w:val="16"/>
              <w:szCs w:val="16"/>
              <w:lang w:eastAsia="es-MX"/>
            </w:rPr>
          </w:pP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EE69A" w14:textId="77777777" w:rsidR="00DB369A" w:rsidRPr="00DB6799" w:rsidRDefault="00DB369A"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Página: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0316A41" w14:textId="5E75D760" w:rsidR="00DB369A" w:rsidRPr="00DB6799" w:rsidRDefault="00DB369A"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r w:rsidRPr="00DB6799">
            <w:rPr>
              <w:rFonts w:ascii="Verdana" w:eastAsia="Times New Roman" w:hAnsi="Verdana" w:cs="Calibri"/>
              <w:color w:val="000000"/>
              <w:sz w:val="16"/>
              <w:szCs w:val="16"/>
              <w:lang w:eastAsia="es-MX"/>
            </w:rPr>
            <w:fldChar w:fldCharType="begin"/>
          </w:r>
          <w:r w:rsidRPr="00DB6799">
            <w:rPr>
              <w:rFonts w:ascii="Verdana" w:eastAsia="Times New Roman" w:hAnsi="Verdana" w:cs="Calibri"/>
              <w:color w:val="000000"/>
              <w:sz w:val="16"/>
              <w:szCs w:val="16"/>
              <w:lang w:eastAsia="es-MX"/>
            </w:rPr>
            <w:instrText>PAGE  \* Arabic  \* MERGEFORMAT</w:instrText>
          </w:r>
          <w:r w:rsidRPr="00DB6799">
            <w:rPr>
              <w:rFonts w:ascii="Verdana" w:eastAsia="Times New Roman" w:hAnsi="Verdana" w:cs="Calibri"/>
              <w:color w:val="000000"/>
              <w:sz w:val="16"/>
              <w:szCs w:val="16"/>
              <w:lang w:eastAsia="es-MX"/>
            </w:rPr>
            <w:fldChar w:fldCharType="separate"/>
          </w:r>
          <w:r w:rsidRPr="00DB6799">
            <w:rPr>
              <w:rFonts w:ascii="Verdana" w:eastAsia="Times New Roman" w:hAnsi="Verdana" w:cs="Calibri"/>
              <w:color w:val="000000"/>
              <w:sz w:val="16"/>
              <w:szCs w:val="16"/>
              <w:lang w:eastAsia="es-MX"/>
            </w:rPr>
            <w:t>1</w:t>
          </w:r>
          <w:r w:rsidRPr="00DB6799">
            <w:rPr>
              <w:rFonts w:ascii="Verdana" w:eastAsia="Times New Roman" w:hAnsi="Verdana" w:cs="Calibri"/>
              <w:color w:val="000000"/>
              <w:sz w:val="16"/>
              <w:szCs w:val="16"/>
              <w:lang w:eastAsia="es-MX"/>
            </w:rPr>
            <w:fldChar w:fldCharType="end"/>
          </w:r>
          <w:r w:rsidRPr="00DB6799">
            <w:rPr>
              <w:rFonts w:ascii="Verdana" w:eastAsia="Times New Roman" w:hAnsi="Verdana" w:cs="Calibri"/>
              <w:color w:val="000000"/>
              <w:sz w:val="16"/>
              <w:szCs w:val="16"/>
              <w:lang w:eastAsia="es-MX"/>
            </w:rPr>
            <w:t xml:space="preserve"> de </w:t>
          </w:r>
          <w:r w:rsidRPr="00DB6799">
            <w:rPr>
              <w:rFonts w:ascii="Verdana" w:eastAsia="Times New Roman" w:hAnsi="Verdana" w:cs="Calibri"/>
              <w:color w:val="000000"/>
              <w:sz w:val="16"/>
              <w:szCs w:val="16"/>
              <w:lang w:eastAsia="es-MX"/>
            </w:rPr>
            <w:fldChar w:fldCharType="begin"/>
          </w:r>
          <w:r w:rsidRPr="00DB6799">
            <w:rPr>
              <w:rFonts w:ascii="Verdana" w:eastAsia="Times New Roman" w:hAnsi="Verdana" w:cs="Calibri"/>
              <w:color w:val="000000"/>
              <w:sz w:val="16"/>
              <w:szCs w:val="16"/>
              <w:lang w:eastAsia="es-MX"/>
            </w:rPr>
            <w:instrText>NUMPAGES  \* Arabic  \* MERGEFORMAT</w:instrText>
          </w:r>
          <w:r w:rsidRPr="00DB6799">
            <w:rPr>
              <w:rFonts w:ascii="Verdana" w:eastAsia="Times New Roman" w:hAnsi="Verdana" w:cs="Calibri"/>
              <w:color w:val="000000"/>
              <w:sz w:val="16"/>
              <w:szCs w:val="16"/>
              <w:lang w:eastAsia="es-MX"/>
            </w:rPr>
            <w:fldChar w:fldCharType="separate"/>
          </w:r>
          <w:r w:rsidRPr="00DB6799">
            <w:rPr>
              <w:rFonts w:ascii="Verdana" w:eastAsia="Times New Roman" w:hAnsi="Verdana" w:cs="Calibri"/>
              <w:color w:val="000000"/>
              <w:sz w:val="16"/>
              <w:szCs w:val="16"/>
              <w:lang w:eastAsia="es-MX"/>
            </w:rPr>
            <w:t>1</w:t>
          </w:r>
          <w:r w:rsidRPr="00DB6799">
            <w:rPr>
              <w:rFonts w:ascii="Verdana" w:eastAsia="Times New Roman" w:hAnsi="Verdana" w:cs="Calibri"/>
              <w:color w:val="000000"/>
              <w:sz w:val="16"/>
              <w:szCs w:val="16"/>
              <w:lang w:eastAsia="es-MX"/>
            </w:rPr>
            <w:fldChar w:fldCharType="end"/>
          </w:r>
        </w:p>
      </w:tc>
    </w:tr>
  </w:tbl>
  <w:p w14:paraId="77F12825" w14:textId="37C67BDD" w:rsidR="00D30510" w:rsidRPr="00DB369A" w:rsidRDefault="00D30510" w:rsidP="00DB369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40" w:type="dxa"/>
      <w:tblInd w:w="-431" w:type="dxa"/>
      <w:tblCellMar>
        <w:left w:w="70" w:type="dxa"/>
        <w:right w:w="70" w:type="dxa"/>
      </w:tblCellMar>
      <w:tblLook w:val="04A0" w:firstRow="1" w:lastRow="0" w:firstColumn="1" w:lastColumn="0" w:noHBand="0" w:noVBand="1"/>
    </w:tblPr>
    <w:tblGrid>
      <w:gridCol w:w="1277"/>
      <w:gridCol w:w="2126"/>
      <w:gridCol w:w="160"/>
      <w:gridCol w:w="995"/>
      <w:gridCol w:w="968"/>
      <w:gridCol w:w="166"/>
      <w:gridCol w:w="263"/>
      <w:gridCol w:w="160"/>
      <w:gridCol w:w="974"/>
      <w:gridCol w:w="567"/>
      <w:gridCol w:w="160"/>
      <w:gridCol w:w="832"/>
      <w:gridCol w:w="992"/>
    </w:tblGrid>
    <w:tr w:rsidR="0089045F" w:rsidRPr="00DB369A" w14:paraId="75DC6230" w14:textId="77777777" w:rsidTr="007E3DC4">
      <w:trPr>
        <w:trHeight w:val="983"/>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EF7C4" w14:textId="77777777" w:rsidR="0089045F" w:rsidRPr="00DB369A" w:rsidRDefault="0089045F" w:rsidP="00DB369A">
          <w:pPr>
            <w:spacing w:after="0" w:line="240" w:lineRule="auto"/>
            <w:rPr>
              <w:rFonts w:ascii="Verdana" w:eastAsia="Times New Roman" w:hAnsi="Verdana" w:cs="Calibri"/>
              <w:color w:val="000000"/>
              <w:sz w:val="18"/>
              <w:szCs w:val="18"/>
              <w:lang w:eastAsia="es-MX"/>
            </w:rPr>
          </w:pPr>
          <w:r>
            <w:rPr>
              <w:rFonts w:ascii="Calibri" w:eastAsia="Times New Roman" w:hAnsi="Calibri" w:cs="Calibri"/>
              <w:noProof/>
              <w:color w:val="000000"/>
              <w:sz w:val="24"/>
              <w:szCs w:val="24"/>
              <w:lang w:eastAsia="es-MX"/>
            </w:rPr>
            <w:drawing>
              <wp:anchor distT="0" distB="0" distL="114300" distR="114300" simplePos="0" relativeHeight="251661312" behindDoc="0" locked="0" layoutInCell="1" allowOverlap="1" wp14:anchorId="0CD0ADAA" wp14:editId="3CA319F1">
                <wp:simplePos x="0" y="0"/>
                <wp:positionH relativeFrom="column">
                  <wp:posOffset>33655</wp:posOffset>
                </wp:positionH>
                <wp:positionV relativeFrom="paragraph">
                  <wp:posOffset>-8255</wp:posOffset>
                </wp:positionV>
                <wp:extent cx="645160" cy="460375"/>
                <wp:effectExtent l="0" t="0" r="254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03420" name="Imagen 1575903420"/>
                        <pic:cNvPicPr/>
                      </pic:nvPicPr>
                      <pic:blipFill>
                        <a:blip r:embed="rId1">
                          <a:extLst>
                            <a:ext uri="{28A0092B-C50C-407E-A947-70E740481C1C}">
                              <a14:useLocalDpi xmlns:a14="http://schemas.microsoft.com/office/drawing/2010/main" val="0"/>
                            </a:ext>
                          </a:extLst>
                        </a:blip>
                        <a:stretch>
                          <a:fillRect/>
                        </a:stretch>
                      </pic:blipFill>
                      <pic:spPr>
                        <a:xfrm>
                          <a:off x="0" y="0"/>
                          <a:ext cx="645160" cy="460375"/>
                        </a:xfrm>
                        <a:prstGeom prst="rect">
                          <a:avLst/>
                        </a:prstGeom>
                      </pic:spPr>
                    </pic:pic>
                  </a:graphicData>
                </a:graphic>
                <wp14:sizeRelH relativeFrom="page">
                  <wp14:pctWidth>0</wp14:pctWidth>
                </wp14:sizeRelH>
                <wp14:sizeRelV relativeFrom="page">
                  <wp14:pctHeight>0</wp14:pctHeight>
                </wp14:sizeRelV>
              </wp:anchor>
            </w:drawing>
          </w:r>
          <w:r w:rsidRPr="00DB369A">
            <w:rPr>
              <w:rFonts w:ascii="Verdana" w:eastAsia="Times New Roman" w:hAnsi="Verdana" w:cs="Calibri"/>
              <w:color w:val="000000"/>
              <w:sz w:val="18"/>
              <w:szCs w:val="18"/>
              <w:lang w:eastAsia="es-MX"/>
            </w:rPr>
            <w:t> </w:t>
          </w:r>
        </w:p>
      </w:tc>
      <w:tc>
        <w:tcPr>
          <w:tcW w:w="8363" w:type="dxa"/>
          <w:gridSpan w:val="12"/>
          <w:tcBorders>
            <w:top w:val="single" w:sz="4" w:space="0" w:color="auto"/>
            <w:left w:val="nil"/>
            <w:bottom w:val="single" w:sz="4" w:space="0" w:color="auto"/>
            <w:right w:val="single" w:sz="4" w:space="0" w:color="000000"/>
          </w:tcBorders>
          <w:shd w:val="clear" w:color="auto" w:fill="auto"/>
          <w:noWrap/>
          <w:vAlign w:val="center"/>
          <w:hideMark/>
        </w:tcPr>
        <w:p w14:paraId="55B402CD" w14:textId="6245083A" w:rsidR="0089045F" w:rsidRPr="00F9091F" w:rsidRDefault="00A72A1E" w:rsidP="00DB369A">
          <w:pPr>
            <w:spacing w:after="0" w:line="240" w:lineRule="auto"/>
            <w:jc w:val="center"/>
            <w:rPr>
              <w:rFonts w:ascii="Verdana" w:eastAsia="Times New Roman" w:hAnsi="Verdana" w:cs="Calibri"/>
              <w:b/>
              <w:bCs/>
              <w:color w:val="000000"/>
              <w:sz w:val="24"/>
              <w:szCs w:val="24"/>
              <w:lang w:eastAsia="es-MX"/>
            </w:rPr>
          </w:pPr>
          <w:r w:rsidRPr="00A72A1E">
            <w:rPr>
              <w:rFonts w:ascii="Verdana" w:eastAsia="Times New Roman" w:hAnsi="Verdana" w:cs="Calibri"/>
              <w:b/>
              <w:bCs/>
              <w:color w:val="000000"/>
              <w:sz w:val="24"/>
              <w:szCs w:val="24"/>
              <w:lang w:val="es-ES" w:eastAsia="es-MX"/>
            </w:rPr>
            <w:t>MANUAL DE POLITICAS CONTABLES SISTEMA GENERAL DE REGALIAS</w:t>
          </w:r>
        </w:p>
      </w:tc>
    </w:tr>
    <w:tr w:rsidR="0089045F" w:rsidRPr="00DB369A" w14:paraId="7C318913" w14:textId="77777777" w:rsidTr="007E3DC4">
      <w:trPr>
        <w:trHeight w:val="120"/>
      </w:trPr>
      <w:tc>
        <w:tcPr>
          <w:tcW w:w="1277" w:type="dxa"/>
          <w:tcBorders>
            <w:top w:val="nil"/>
            <w:left w:val="nil"/>
            <w:bottom w:val="nil"/>
            <w:right w:val="nil"/>
          </w:tcBorders>
          <w:shd w:val="clear" w:color="auto" w:fill="auto"/>
          <w:noWrap/>
          <w:vAlign w:val="center"/>
          <w:hideMark/>
        </w:tcPr>
        <w:p w14:paraId="22AFC4F9" w14:textId="77777777" w:rsidR="0089045F" w:rsidRPr="00DB369A" w:rsidRDefault="0089045F" w:rsidP="00DB369A">
          <w:pPr>
            <w:spacing w:after="0" w:line="240" w:lineRule="auto"/>
            <w:jc w:val="center"/>
            <w:rPr>
              <w:rFonts w:ascii="Verdana" w:eastAsia="Times New Roman" w:hAnsi="Verdana" w:cs="Calibri"/>
              <w:color w:val="000000"/>
              <w:sz w:val="24"/>
              <w:szCs w:val="24"/>
              <w:lang w:eastAsia="es-MX"/>
            </w:rPr>
          </w:pPr>
        </w:p>
      </w:tc>
      <w:tc>
        <w:tcPr>
          <w:tcW w:w="2126" w:type="dxa"/>
          <w:tcBorders>
            <w:top w:val="nil"/>
            <w:left w:val="nil"/>
            <w:bottom w:val="nil"/>
            <w:right w:val="nil"/>
          </w:tcBorders>
          <w:shd w:val="clear" w:color="auto" w:fill="auto"/>
          <w:noWrap/>
          <w:vAlign w:val="center"/>
          <w:hideMark/>
        </w:tcPr>
        <w:p w14:paraId="4C244FE9"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160" w:type="dxa"/>
          <w:tcBorders>
            <w:top w:val="nil"/>
            <w:left w:val="nil"/>
            <w:bottom w:val="nil"/>
            <w:right w:val="nil"/>
          </w:tcBorders>
          <w:shd w:val="clear" w:color="auto" w:fill="auto"/>
          <w:noWrap/>
          <w:vAlign w:val="center"/>
          <w:hideMark/>
        </w:tcPr>
        <w:p w14:paraId="281A741D"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995" w:type="dxa"/>
          <w:tcBorders>
            <w:top w:val="nil"/>
            <w:left w:val="nil"/>
            <w:bottom w:val="nil"/>
            <w:right w:val="nil"/>
          </w:tcBorders>
          <w:shd w:val="clear" w:color="auto" w:fill="auto"/>
          <w:noWrap/>
          <w:vAlign w:val="center"/>
          <w:hideMark/>
        </w:tcPr>
        <w:p w14:paraId="19E5478B"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968" w:type="dxa"/>
          <w:tcBorders>
            <w:top w:val="nil"/>
            <w:left w:val="nil"/>
            <w:bottom w:val="nil"/>
            <w:right w:val="nil"/>
          </w:tcBorders>
          <w:shd w:val="clear" w:color="auto" w:fill="auto"/>
          <w:noWrap/>
          <w:vAlign w:val="center"/>
          <w:hideMark/>
        </w:tcPr>
        <w:p w14:paraId="0BF64C28"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166" w:type="dxa"/>
          <w:tcBorders>
            <w:top w:val="nil"/>
            <w:left w:val="nil"/>
            <w:bottom w:val="nil"/>
            <w:right w:val="nil"/>
          </w:tcBorders>
          <w:shd w:val="clear" w:color="auto" w:fill="auto"/>
          <w:noWrap/>
          <w:vAlign w:val="center"/>
          <w:hideMark/>
        </w:tcPr>
        <w:p w14:paraId="02D457E7"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1397" w:type="dxa"/>
          <w:gridSpan w:val="3"/>
          <w:tcBorders>
            <w:top w:val="nil"/>
            <w:left w:val="nil"/>
            <w:bottom w:val="nil"/>
            <w:right w:val="nil"/>
          </w:tcBorders>
          <w:shd w:val="clear" w:color="auto" w:fill="auto"/>
          <w:noWrap/>
          <w:vAlign w:val="center"/>
          <w:hideMark/>
        </w:tcPr>
        <w:p w14:paraId="273CE354"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567" w:type="dxa"/>
          <w:tcBorders>
            <w:top w:val="nil"/>
            <w:left w:val="nil"/>
            <w:bottom w:val="nil"/>
            <w:right w:val="nil"/>
          </w:tcBorders>
          <w:shd w:val="clear" w:color="auto" w:fill="auto"/>
          <w:noWrap/>
          <w:vAlign w:val="center"/>
          <w:hideMark/>
        </w:tcPr>
        <w:p w14:paraId="65E9E003"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160" w:type="dxa"/>
          <w:tcBorders>
            <w:top w:val="nil"/>
            <w:left w:val="nil"/>
            <w:bottom w:val="nil"/>
            <w:right w:val="nil"/>
          </w:tcBorders>
          <w:shd w:val="clear" w:color="auto" w:fill="auto"/>
          <w:noWrap/>
          <w:vAlign w:val="center"/>
          <w:hideMark/>
        </w:tcPr>
        <w:p w14:paraId="5843C368"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832" w:type="dxa"/>
          <w:tcBorders>
            <w:top w:val="nil"/>
            <w:left w:val="nil"/>
            <w:bottom w:val="nil"/>
            <w:right w:val="nil"/>
          </w:tcBorders>
          <w:shd w:val="clear" w:color="auto" w:fill="auto"/>
          <w:noWrap/>
          <w:vAlign w:val="center"/>
          <w:hideMark/>
        </w:tcPr>
        <w:p w14:paraId="3AAC5156"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c>
        <w:tcPr>
          <w:tcW w:w="992" w:type="dxa"/>
          <w:tcBorders>
            <w:top w:val="nil"/>
            <w:left w:val="nil"/>
            <w:bottom w:val="nil"/>
            <w:right w:val="nil"/>
          </w:tcBorders>
          <w:shd w:val="clear" w:color="auto" w:fill="auto"/>
          <w:noWrap/>
          <w:vAlign w:val="center"/>
          <w:hideMark/>
        </w:tcPr>
        <w:p w14:paraId="7FB920F0" w14:textId="77777777" w:rsidR="0089045F" w:rsidRPr="00DB369A" w:rsidRDefault="0089045F" w:rsidP="00DB369A">
          <w:pPr>
            <w:spacing w:after="0" w:line="240" w:lineRule="auto"/>
            <w:rPr>
              <w:rFonts w:ascii="Times New Roman" w:eastAsia="Times New Roman" w:hAnsi="Times New Roman" w:cs="Times New Roman"/>
              <w:sz w:val="20"/>
              <w:szCs w:val="20"/>
              <w:lang w:eastAsia="es-MX"/>
            </w:rPr>
          </w:pPr>
        </w:p>
      </w:tc>
    </w:tr>
    <w:tr w:rsidR="0089045F" w:rsidRPr="00DB369A" w14:paraId="515BC60F" w14:textId="77777777" w:rsidTr="007E3DC4">
      <w:trPr>
        <w:trHeight w:val="200"/>
      </w:trPr>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4A1B4" w14:textId="77777777" w:rsidR="0089045F" w:rsidRPr="00DB6799" w:rsidRDefault="0089045F"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Código:</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169C3D5A" w14:textId="55C99E9C" w:rsidR="0089045F" w:rsidRPr="00A72A1E" w:rsidRDefault="0089045F"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r w:rsidR="00A72A1E" w:rsidRPr="00A72A1E">
            <w:rPr>
              <w:rFonts w:ascii="Verdana" w:eastAsia="Times New Roman" w:hAnsi="Verdana" w:cs="Calibri"/>
              <w:color w:val="000000"/>
              <w:sz w:val="16"/>
              <w:szCs w:val="16"/>
              <w:lang w:eastAsia="es-MX"/>
            </w:rPr>
            <w:t>Mis.3.5. Man.6</w:t>
          </w:r>
        </w:p>
      </w:tc>
      <w:tc>
        <w:tcPr>
          <w:tcW w:w="160" w:type="dxa"/>
          <w:tcBorders>
            <w:top w:val="nil"/>
            <w:left w:val="nil"/>
            <w:bottom w:val="nil"/>
            <w:right w:val="nil"/>
          </w:tcBorders>
          <w:shd w:val="clear" w:color="auto" w:fill="auto"/>
          <w:noWrap/>
          <w:vAlign w:val="center"/>
          <w:hideMark/>
        </w:tcPr>
        <w:p w14:paraId="02EA59B3" w14:textId="77777777" w:rsidR="0089045F" w:rsidRPr="00DB6799" w:rsidRDefault="0089045F" w:rsidP="00DB369A">
          <w:pPr>
            <w:spacing w:after="0" w:line="240" w:lineRule="auto"/>
            <w:rPr>
              <w:rFonts w:ascii="Verdana" w:eastAsia="Times New Roman" w:hAnsi="Verdana" w:cs="Calibri"/>
              <w:color w:val="000000"/>
              <w:sz w:val="16"/>
              <w:szCs w:val="16"/>
              <w:lang w:eastAsia="es-MX"/>
            </w:rPr>
          </w:pP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FDDC0" w14:textId="77777777" w:rsidR="0089045F" w:rsidRPr="00DB6799" w:rsidRDefault="0089045F"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Fecha:</w:t>
          </w:r>
        </w:p>
      </w:tc>
      <w:tc>
        <w:tcPr>
          <w:tcW w:w="1397" w:type="dxa"/>
          <w:gridSpan w:val="3"/>
          <w:tcBorders>
            <w:top w:val="single" w:sz="4" w:space="0" w:color="auto"/>
            <w:left w:val="nil"/>
            <w:bottom w:val="single" w:sz="4" w:space="0" w:color="auto"/>
            <w:right w:val="single" w:sz="4" w:space="0" w:color="auto"/>
          </w:tcBorders>
          <w:shd w:val="clear" w:color="auto" w:fill="auto"/>
          <w:noWrap/>
          <w:vAlign w:val="center"/>
          <w:hideMark/>
        </w:tcPr>
        <w:p w14:paraId="0B6AF1A9" w14:textId="5B4B3F07" w:rsidR="0089045F" w:rsidRPr="00DB6799" w:rsidRDefault="0089045F"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r w:rsidR="00A72A1E">
            <w:rPr>
              <w:rFonts w:ascii="Verdana" w:eastAsia="Times New Roman" w:hAnsi="Verdana" w:cs="Calibri"/>
              <w:color w:val="000000"/>
              <w:sz w:val="16"/>
              <w:szCs w:val="16"/>
              <w:lang w:eastAsia="es-MX"/>
            </w:rPr>
            <w:t>07-02-22</w:t>
          </w:r>
        </w:p>
      </w:tc>
      <w:tc>
        <w:tcPr>
          <w:tcW w:w="160" w:type="dxa"/>
          <w:tcBorders>
            <w:top w:val="nil"/>
            <w:left w:val="nil"/>
            <w:bottom w:val="nil"/>
            <w:right w:val="nil"/>
          </w:tcBorders>
          <w:shd w:val="clear" w:color="auto" w:fill="auto"/>
          <w:noWrap/>
          <w:vAlign w:val="center"/>
          <w:hideMark/>
        </w:tcPr>
        <w:p w14:paraId="20C5A1F6" w14:textId="77777777" w:rsidR="0089045F" w:rsidRPr="00DB6799" w:rsidRDefault="0089045F" w:rsidP="00DB369A">
          <w:pPr>
            <w:spacing w:after="0" w:line="240" w:lineRule="auto"/>
            <w:rPr>
              <w:rFonts w:ascii="Verdana" w:eastAsia="Times New Roman" w:hAnsi="Verdana" w:cs="Calibri"/>
              <w:color w:val="000000"/>
              <w:sz w:val="16"/>
              <w:szCs w:val="16"/>
              <w:lang w:eastAsia="es-MX"/>
            </w:rPr>
          </w:pP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30B5E" w14:textId="77777777" w:rsidR="0089045F" w:rsidRPr="00DB6799" w:rsidRDefault="0089045F"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Versión:</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380D69" w14:textId="70BDE34E" w:rsidR="0089045F" w:rsidRPr="00DB6799" w:rsidRDefault="0089045F"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r w:rsidR="00A72A1E">
            <w:rPr>
              <w:rFonts w:ascii="Verdana" w:eastAsia="Times New Roman" w:hAnsi="Verdana" w:cs="Calibri"/>
              <w:color w:val="000000"/>
              <w:sz w:val="16"/>
              <w:szCs w:val="16"/>
              <w:lang w:eastAsia="es-MX"/>
            </w:rPr>
            <w:t>5</w:t>
          </w:r>
        </w:p>
      </w:tc>
      <w:tc>
        <w:tcPr>
          <w:tcW w:w="160" w:type="dxa"/>
          <w:tcBorders>
            <w:top w:val="nil"/>
            <w:left w:val="nil"/>
            <w:bottom w:val="nil"/>
            <w:right w:val="nil"/>
          </w:tcBorders>
          <w:shd w:val="clear" w:color="auto" w:fill="auto"/>
          <w:noWrap/>
          <w:vAlign w:val="center"/>
          <w:hideMark/>
        </w:tcPr>
        <w:p w14:paraId="16673D14" w14:textId="77777777" w:rsidR="0089045F" w:rsidRPr="00DB6799" w:rsidRDefault="0089045F" w:rsidP="00DB369A">
          <w:pPr>
            <w:spacing w:after="0" w:line="240" w:lineRule="auto"/>
            <w:rPr>
              <w:rFonts w:ascii="Verdana" w:eastAsia="Times New Roman" w:hAnsi="Verdana" w:cs="Calibri"/>
              <w:color w:val="000000"/>
              <w:sz w:val="16"/>
              <w:szCs w:val="16"/>
              <w:lang w:eastAsia="es-MX"/>
            </w:rPr>
          </w:pP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EEA21" w14:textId="77777777" w:rsidR="0089045F" w:rsidRPr="00DB6799" w:rsidRDefault="0089045F" w:rsidP="00DB369A">
          <w:pPr>
            <w:spacing w:after="0" w:line="240" w:lineRule="auto"/>
            <w:rPr>
              <w:rFonts w:ascii="Verdana" w:eastAsia="Times New Roman" w:hAnsi="Verdana" w:cs="Calibri"/>
              <w:b/>
              <w:bCs/>
              <w:color w:val="000000"/>
              <w:sz w:val="16"/>
              <w:szCs w:val="16"/>
              <w:lang w:eastAsia="es-MX"/>
            </w:rPr>
          </w:pPr>
          <w:r w:rsidRPr="00DB6799">
            <w:rPr>
              <w:rFonts w:ascii="Verdana" w:eastAsia="Times New Roman" w:hAnsi="Verdana" w:cs="Calibri"/>
              <w:b/>
              <w:bCs/>
              <w:color w:val="000000"/>
              <w:sz w:val="16"/>
              <w:szCs w:val="16"/>
              <w:lang w:eastAsia="es-MX"/>
            </w:rPr>
            <w:t>Página: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888C0DE" w14:textId="77777777" w:rsidR="0089045F" w:rsidRPr="00DB6799" w:rsidRDefault="0089045F" w:rsidP="00DB369A">
          <w:pPr>
            <w:spacing w:after="0" w:line="240" w:lineRule="auto"/>
            <w:rPr>
              <w:rFonts w:ascii="Verdana" w:eastAsia="Times New Roman" w:hAnsi="Verdana" w:cs="Calibri"/>
              <w:color w:val="000000"/>
              <w:sz w:val="16"/>
              <w:szCs w:val="16"/>
              <w:lang w:eastAsia="es-MX"/>
            </w:rPr>
          </w:pPr>
          <w:r w:rsidRPr="00DB6799">
            <w:rPr>
              <w:rFonts w:ascii="Verdana" w:eastAsia="Times New Roman" w:hAnsi="Verdana" w:cs="Calibri"/>
              <w:color w:val="000000"/>
              <w:sz w:val="16"/>
              <w:szCs w:val="16"/>
              <w:lang w:eastAsia="es-MX"/>
            </w:rPr>
            <w:t> </w:t>
          </w:r>
          <w:r w:rsidRPr="00DB6799">
            <w:rPr>
              <w:rFonts w:ascii="Verdana" w:eastAsia="Times New Roman" w:hAnsi="Verdana" w:cs="Calibri"/>
              <w:color w:val="000000"/>
              <w:sz w:val="16"/>
              <w:szCs w:val="16"/>
              <w:lang w:eastAsia="es-MX"/>
            </w:rPr>
            <w:fldChar w:fldCharType="begin"/>
          </w:r>
          <w:r w:rsidRPr="00DB6799">
            <w:rPr>
              <w:rFonts w:ascii="Verdana" w:eastAsia="Times New Roman" w:hAnsi="Verdana" w:cs="Calibri"/>
              <w:color w:val="000000"/>
              <w:sz w:val="16"/>
              <w:szCs w:val="16"/>
              <w:lang w:eastAsia="es-MX"/>
            </w:rPr>
            <w:instrText>PAGE  \* Arabic  \* MERGEFORMAT</w:instrText>
          </w:r>
          <w:r w:rsidRPr="00DB6799">
            <w:rPr>
              <w:rFonts w:ascii="Verdana" w:eastAsia="Times New Roman" w:hAnsi="Verdana" w:cs="Calibri"/>
              <w:color w:val="000000"/>
              <w:sz w:val="16"/>
              <w:szCs w:val="16"/>
              <w:lang w:eastAsia="es-MX"/>
            </w:rPr>
            <w:fldChar w:fldCharType="separate"/>
          </w:r>
          <w:r w:rsidRPr="00DB6799">
            <w:rPr>
              <w:rFonts w:ascii="Verdana" w:eastAsia="Times New Roman" w:hAnsi="Verdana" w:cs="Calibri"/>
              <w:color w:val="000000"/>
              <w:sz w:val="16"/>
              <w:szCs w:val="16"/>
              <w:lang w:eastAsia="es-MX"/>
            </w:rPr>
            <w:t>1</w:t>
          </w:r>
          <w:r w:rsidRPr="00DB6799">
            <w:rPr>
              <w:rFonts w:ascii="Verdana" w:eastAsia="Times New Roman" w:hAnsi="Verdana" w:cs="Calibri"/>
              <w:color w:val="000000"/>
              <w:sz w:val="16"/>
              <w:szCs w:val="16"/>
              <w:lang w:eastAsia="es-MX"/>
            </w:rPr>
            <w:fldChar w:fldCharType="end"/>
          </w:r>
          <w:r w:rsidRPr="00DB6799">
            <w:rPr>
              <w:rFonts w:ascii="Verdana" w:eastAsia="Times New Roman" w:hAnsi="Verdana" w:cs="Calibri"/>
              <w:color w:val="000000"/>
              <w:sz w:val="16"/>
              <w:szCs w:val="16"/>
              <w:lang w:eastAsia="es-MX"/>
            </w:rPr>
            <w:t xml:space="preserve"> de </w:t>
          </w:r>
          <w:r w:rsidRPr="00DB6799">
            <w:rPr>
              <w:rFonts w:ascii="Verdana" w:eastAsia="Times New Roman" w:hAnsi="Verdana" w:cs="Calibri"/>
              <w:color w:val="000000"/>
              <w:sz w:val="16"/>
              <w:szCs w:val="16"/>
              <w:lang w:eastAsia="es-MX"/>
            </w:rPr>
            <w:fldChar w:fldCharType="begin"/>
          </w:r>
          <w:r w:rsidRPr="00DB6799">
            <w:rPr>
              <w:rFonts w:ascii="Verdana" w:eastAsia="Times New Roman" w:hAnsi="Verdana" w:cs="Calibri"/>
              <w:color w:val="000000"/>
              <w:sz w:val="16"/>
              <w:szCs w:val="16"/>
              <w:lang w:eastAsia="es-MX"/>
            </w:rPr>
            <w:instrText>NUMPAGES  \* Arabic  \* MERGEFORMAT</w:instrText>
          </w:r>
          <w:r w:rsidRPr="00DB6799">
            <w:rPr>
              <w:rFonts w:ascii="Verdana" w:eastAsia="Times New Roman" w:hAnsi="Verdana" w:cs="Calibri"/>
              <w:color w:val="000000"/>
              <w:sz w:val="16"/>
              <w:szCs w:val="16"/>
              <w:lang w:eastAsia="es-MX"/>
            </w:rPr>
            <w:fldChar w:fldCharType="separate"/>
          </w:r>
          <w:r w:rsidRPr="00DB6799">
            <w:rPr>
              <w:rFonts w:ascii="Verdana" w:eastAsia="Times New Roman" w:hAnsi="Verdana" w:cs="Calibri"/>
              <w:color w:val="000000"/>
              <w:sz w:val="16"/>
              <w:szCs w:val="16"/>
              <w:lang w:eastAsia="es-MX"/>
            </w:rPr>
            <w:t>1</w:t>
          </w:r>
          <w:r w:rsidRPr="00DB6799">
            <w:rPr>
              <w:rFonts w:ascii="Verdana" w:eastAsia="Times New Roman" w:hAnsi="Verdana" w:cs="Calibri"/>
              <w:color w:val="000000"/>
              <w:sz w:val="16"/>
              <w:szCs w:val="16"/>
              <w:lang w:eastAsia="es-MX"/>
            </w:rPr>
            <w:fldChar w:fldCharType="end"/>
          </w:r>
        </w:p>
      </w:tc>
    </w:tr>
  </w:tbl>
  <w:p w14:paraId="48CA1D3E" w14:textId="77777777" w:rsidR="0089045F" w:rsidRPr="00DB369A" w:rsidRDefault="0089045F" w:rsidP="00DB369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D276C" w14:textId="77777777" w:rsidR="0089045F" w:rsidRPr="00DB369A" w:rsidRDefault="0089045F" w:rsidP="00DB369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87770"/>
    <w:multiLevelType w:val="hybridMultilevel"/>
    <w:tmpl w:val="AAE25190"/>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0E86B66"/>
    <w:multiLevelType w:val="hybridMultilevel"/>
    <w:tmpl w:val="0FE423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10D6BF6"/>
    <w:multiLevelType w:val="hybridMultilevel"/>
    <w:tmpl w:val="0FFA5D34"/>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3" w15:restartNumberingAfterBreak="0">
    <w:nsid w:val="03224DD5"/>
    <w:multiLevelType w:val="hybridMultilevel"/>
    <w:tmpl w:val="5B74FC1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4490DB0"/>
    <w:multiLevelType w:val="hybridMultilevel"/>
    <w:tmpl w:val="93B27A4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50F304D"/>
    <w:multiLevelType w:val="hybridMultilevel"/>
    <w:tmpl w:val="89AE58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8A42B23"/>
    <w:multiLevelType w:val="hybridMultilevel"/>
    <w:tmpl w:val="42309716"/>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96E7E9E"/>
    <w:multiLevelType w:val="hybridMultilevel"/>
    <w:tmpl w:val="B11C1046"/>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AF80227"/>
    <w:multiLevelType w:val="hybridMultilevel"/>
    <w:tmpl w:val="A3743D9C"/>
    <w:lvl w:ilvl="0" w:tplc="240A000D">
      <w:start w:val="1"/>
      <w:numFmt w:val="bullet"/>
      <w:lvlText w:val=""/>
      <w:lvlJc w:val="left"/>
      <w:pPr>
        <w:ind w:left="720" w:hanging="360"/>
      </w:pPr>
      <w:rPr>
        <w:rFonts w:ascii="Wingdings" w:hAnsi="Wingdings" w:hint="default"/>
        <w:w w:val="100"/>
        <w:sz w:val="22"/>
        <w:szCs w:val="22"/>
      </w:rPr>
    </w:lvl>
    <w:lvl w:ilvl="1" w:tplc="D50CD6AE">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0B1143B3"/>
    <w:multiLevelType w:val="multilevel"/>
    <w:tmpl w:val="0ABE8668"/>
    <w:lvl w:ilvl="0">
      <w:start w:val="1"/>
      <w:numFmt w:val="decimal"/>
      <w:pStyle w:val="Estilo2"/>
      <w:lvlText w:val="%1."/>
      <w:lvlJc w:val="left"/>
      <w:pPr>
        <w:ind w:left="360" w:hanging="360"/>
      </w:pPr>
      <w:rPr>
        <w:rFonts w:hint="default"/>
        <w:b/>
      </w:rPr>
    </w:lvl>
    <w:lvl w:ilvl="1">
      <w:start w:val="1"/>
      <w:numFmt w:val="decimal"/>
      <w:pStyle w:val="Estilo3"/>
      <w:lvlText w:val="%1.%2."/>
      <w:lvlJc w:val="left"/>
      <w:pPr>
        <w:ind w:left="792" w:hanging="432"/>
      </w:pPr>
      <w:rPr>
        <w:rFonts w:hint="default"/>
        <w:i w:val="0"/>
      </w:rPr>
    </w:lvl>
    <w:lvl w:ilvl="2">
      <w:start w:val="1"/>
      <w:numFmt w:val="decimal"/>
      <w:lvlText w:val="%1.%2.%3."/>
      <w:lvlJc w:val="left"/>
      <w:pPr>
        <w:ind w:left="1224" w:hanging="504"/>
      </w:pPr>
      <w:rPr>
        <w:rFonts w:hint="default"/>
        <w:b w:val="0"/>
        <w:i w:val="0"/>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A67EBF"/>
    <w:multiLevelType w:val="multilevel"/>
    <w:tmpl w:val="29CE3C9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D5C38E4"/>
    <w:multiLevelType w:val="hybridMultilevel"/>
    <w:tmpl w:val="6CDCB684"/>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062362B"/>
    <w:multiLevelType w:val="hybridMultilevel"/>
    <w:tmpl w:val="7A58E79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2045BAB"/>
    <w:multiLevelType w:val="hybridMultilevel"/>
    <w:tmpl w:val="15023BCC"/>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25F6C8A"/>
    <w:multiLevelType w:val="hybridMultilevel"/>
    <w:tmpl w:val="88906A32"/>
    <w:lvl w:ilvl="0" w:tplc="818AFF98">
      <w:numFmt w:val="bullet"/>
      <w:lvlText w:val=""/>
      <w:lvlJc w:val="left"/>
      <w:pPr>
        <w:ind w:left="786" w:hanging="360"/>
      </w:pPr>
      <w:rPr>
        <w:rFonts w:ascii="Symbol" w:eastAsia="Symbol" w:hAnsi="Symbol" w:cs="Symbol" w:hint="default"/>
        <w:w w:val="100"/>
        <w:sz w:val="24"/>
        <w:szCs w:val="24"/>
        <w:lang w:val="es-ES" w:eastAsia="es-ES" w:bidi="es-ES"/>
      </w:rPr>
    </w:lvl>
    <w:lvl w:ilvl="1" w:tplc="096E2560">
      <w:numFmt w:val="bullet"/>
      <w:lvlText w:val=""/>
      <w:lvlJc w:val="left"/>
      <w:pPr>
        <w:ind w:left="1146" w:hanging="360"/>
      </w:pPr>
      <w:rPr>
        <w:rFonts w:ascii="Symbol" w:eastAsia="Symbol" w:hAnsi="Symbol" w:cs="Symbol" w:hint="default"/>
        <w:w w:val="100"/>
        <w:sz w:val="24"/>
        <w:szCs w:val="24"/>
        <w:lang w:val="es-ES" w:eastAsia="es-ES" w:bidi="es-ES"/>
      </w:rPr>
    </w:lvl>
    <w:lvl w:ilvl="2" w:tplc="4F6899CA">
      <w:numFmt w:val="bullet"/>
      <w:lvlText w:val="•"/>
      <w:lvlJc w:val="left"/>
      <w:pPr>
        <w:ind w:left="1324" w:hanging="360"/>
      </w:pPr>
      <w:rPr>
        <w:rFonts w:hint="default"/>
        <w:lang w:val="es-ES" w:eastAsia="es-ES" w:bidi="es-ES"/>
      </w:rPr>
    </w:lvl>
    <w:lvl w:ilvl="3" w:tplc="471EBDD2">
      <w:numFmt w:val="bullet"/>
      <w:lvlText w:val="•"/>
      <w:lvlJc w:val="left"/>
      <w:pPr>
        <w:ind w:left="2376" w:hanging="360"/>
      </w:pPr>
      <w:rPr>
        <w:rFonts w:hint="default"/>
        <w:lang w:val="es-ES" w:eastAsia="es-ES" w:bidi="es-ES"/>
      </w:rPr>
    </w:lvl>
    <w:lvl w:ilvl="4" w:tplc="DAB61662">
      <w:numFmt w:val="bullet"/>
      <w:lvlText w:val="•"/>
      <w:lvlJc w:val="left"/>
      <w:pPr>
        <w:ind w:left="3429" w:hanging="360"/>
      </w:pPr>
      <w:rPr>
        <w:rFonts w:hint="default"/>
        <w:lang w:val="es-ES" w:eastAsia="es-ES" w:bidi="es-ES"/>
      </w:rPr>
    </w:lvl>
    <w:lvl w:ilvl="5" w:tplc="EE62EF8C">
      <w:numFmt w:val="bullet"/>
      <w:lvlText w:val="•"/>
      <w:lvlJc w:val="left"/>
      <w:pPr>
        <w:ind w:left="4481" w:hanging="360"/>
      </w:pPr>
      <w:rPr>
        <w:rFonts w:hint="default"/>
        <w:lang w:val="es-ES" w:eastAsia="es-ES" w:bidi="es-ES"/>
      </w:rPr>
    </w:lvl>
    <w:lvl w:ilvl="6" w:tplc="7ECE4D2A">
      <w:numFmt w:val="bullet"/>
      <w:lvlText w:val="•"/>
      <w:lvlJc w:val="left"/>
      <w:pPr>
        <w:ind w:left="5534" w:hanging="360"/>
      </w:pPr>
      <w:rPr>
        <w:rFonts w:hint="default"/>
        <w:lang w:val="es-ES" w:eastAsia="es-ES" w:bidi="es-ES"/>
      </w:rPr>
    </w:lvl>
    <w:lvl w:ilvl="7" w:tplc="C68C74FC">
      <w:numFmt w:val="bullet"/>
      <w:lvlText w:val="•"/>
      <w:lvlJc w:val="left"/>
      <w:pPr>
        <w:ind w:left="6586" w:hanging="360"/>
      </w:pPr>
      <w:rPr>
        <w:rFonts w:hint="default"/>
        <w:lang w:val="es-ES" w:eastAsia="es-ES" w:bidi="es-ES"/>
      </w:rPr>
    </w:lvl>
    <w:lvl w:ilvl="8" w:tplc="88C44B74">
      <w:numFmt w:val="bullet"/>
      <w:lvlText w:val="•"/>
      <w:lvlJc w:val="left"/>
      <w:pPr>
        <w:ind w:left="7639" w:hanging="360"/>
      </w:pPr>
      <w:rPr>
        <w:rFonts w:hint="default"/>
        <w:lang w:val="es-ES" w:eastAsia="es-ES" w:bidi="es-ES"/>
      </w:rPr>
    </w:lvl>
  </w:abstractNum>
  <w:abstractNum w:abstractNumId="15" w15:restartNumberingAfterBreak="0">
    <w:nsid w:val="14326894"/>
    <w:multiLevelType w:val="hybridMultilevel"/>
    <w:tmpl w:val="93B27A4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47B639D"/>
    <w:multiLevelType w:val="hybridMultilevel"/>
    <w:tmpl w:val="995CC3D6"/>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14A6686A"/>
    <w:multiLevelType w:val="hybridMultilevel"/>
    <w:tmpl w:val="6CECFEC8"/>
    <w:lvl w:ilvl="0" w:tplc="240A000D">
      <w:start w:val="1"/>
      <w:numFmt w:val="bullet"/>
      <w:lvlText w:val=""/>
      <w:lvlJc w:val="left"/>
      <w:pPr>
        <w:ind w:left="720" w:hanging="360"/>
      </w:pPr>
      <w:rPr>
        <w:rFonts w:ascii="Wingdings" w:hAnsi="Wingdings" w:hint="default"/>
        <w:w w:val="100"/>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15353BAF"/>
    <w:multiLevelType w:val="hybridMultilevel"/>
    <w:tmpl w:val="ADDC7898"/>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18290D27"/>
    <w:multiLevelType w:val="hybridMultilevel"/>
    <w:tmpl w:val="AAB20B16"/>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15:restartNumberingAfterBreak="0">
    <w:nsid w:val="1BE30252"/>
    <w:multiLevelType w:val="hybridMultilevel"/>
    <w:tmpl w:val="B7B29CD2"/>
    <w:lvl w:ilvl="0" w:tplc="240A000F">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1D2C6357"/>
    <w:multiLevelType w:val="hybridMultilevel"/>
    <w:tmpl w:val="9A623168"/>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22" w15:restartNumberingAfterBreak="0">
    <w:nsid w:val="1D823320"/>
    <w:multiLevelType w:val="hybridMultilevel"/>
    <w:tmpl w:val="322C283A"/>
    <w:lvl w:ilvl="0" w:tplc="240A000D">
      <w:start w:val="1"/>
      <w:numFmt w:val="bullet"/>
      <w:lvlText w:val=""/>
      <w:lvlJc w:val="left"/>
      <w:pPr>
        <w:ind w:left="544" w:hanging="356"/>
      </w:pPr>
      <w:rPr>
        <w:rFonts w:ascii="Wingdings" w:hAnsi="Wingdings" w:hint="default"/>
        <w:b w:val="0"/>
        <w:spacing w:val="-2"/>
        <w:w w:val="100"/>
        <w:sz w:val="22"/>
        <w:szCs w:val="22"/>
      </w:rPr>
    </w:lvl>
    <w:lvl w:ilvl="1" w:tplc="479EC6DC">
      <w:start w:val="1"/>
      <w:numFmt w:val="bullet"/>
      <w:lvlText w:val="•"/>
      <w:lvlJc w:val="left"/>
      <w:pPr>
        <w:ind w:left="1408" w:hanging="356"/>
      </w:pPr>
      <w:rPr>
        <w:rFonts w:hint="default"/>
      </w:rPr>
    </w:lvl>
    <w:lvl w:ilvl="2" w:tplc="8424F810">
      <w:start w:val="1"/>
      <w:numFmt w:val="bullet"/>
      <w:lvlText w:val="•"/>
      <w:lvlJc w:val="left"/>
      <w:pPr>
        <w:ind w:left="2276" w:hanging="356"/>
      </w:pPr>
      <w:rPr>
        <w:rFonts w:hint="default"/>
      </w:rPr>
    </w:lvl>
    <w:lvl w:ilvl="3" w:tplc="16CA9848">
      <w:start w:val="1"/>
      <w:numFmt w:val="bullet"/>
      <w:lvlText w:val="•"/>
      <w:lvlJc w:val="left"/>
      <w:pPr>
        <w:ind w:left="3144" w:hanging="356"/>
      </w:pPr>
      <w:rPr>
        <w:rFonts w:hint="default"/>
      </w:rPr>
    </w:lvl>
    <w:lvl w:ilvl="4" w:tplc="7960EFBC">
      <w:start w:val="1"/>
      <w:numFmt w:val="bullet"/>
      <w:lvlText w:val="•"/>
      <w:lvlJc w:val="left"/>
      <w:pPr>
        <w:ind w:left="4012" w:hanging="356"/>
      </w:pPr>
      <w:rPr>
        <w:rFonts w:hint="default"/>
      </w:rPr>
    </w:lvl>
    <w:lvl w:ilvl="5" w:tplc="C4ACB7A2">
      <w:start w:val="1"/>
      <w:numFmt w:val="bullet"/>
      <w:lvlText w:val="•"/>
      <w:lvlJc w:val="left"/>
      <w:pPr>
        <w:ind w:left="4881" w:hanging="356"/>
      </w:pPr>
      <w:rPr>
        <w:rFonts w:hint="default"/>
      </w:rPr>
    </w:lvl>
    <w:lvl w:ilvl="6" w:tplc="3EAA800C">
      <w:start w:val="1"/>
      <w:numFmt w:val="bullet"/>
      <w:lvlText w:val="•"/>
      <w:lvlJc w:val="left"/>
      <w:pPr>
        <w:ind w:left="5749" w:hanging="356"/>
      </w:pPr>
      <w:rPr>
        <w:rFonts w:hint="default"/>
      </w:rPr>
    </w:lvl>
    <w:lvl w:ilvl="7" w:tplc="D5B871EE">
      <w:start w:val="1"/>
      <w:numFmt w:val="bullet"/>
      <w:lvlText w:val="•"/>
      <w:lvlJc w:val="left"/>
      <w:pPr>
        <w:ind w:left="6617" w:hanging="356"/>
      </w:pPr>
      <w:rPr>
        <w:rFonts w:hint="default"/>
      </w:rPr>
    </w:lvl>
    <w:lvl w:ilvl="8" w:tplc="3566F408">
      <w:start w:val="1"/>
      <w:numFmt w:val="bullet"/>
      <w:lvlText w:val="•"/>
      <w:lvlJc w:val="left"/>
      <w:pPr>
        <w:ind w:left="7485" w:hanging="356"/>
      </w:pPr>
      <w:rPr>
        <w:rFonts w:hint="default"/>
      </w:rPr>
    </w:lvl>
  </w:abstractNum>
  <w:abstractNum w:abstractNumId="23" w15:restartNumberingAfterBreak="0">
    <w:nsid w:val="1E67030A"/>
    <w:multiLevelType w:val="hybridMultilevel"/>
    <w:tmpl w:val="7466D7EA"/>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0A8755B"/>
    <w:multiLevelType w:val="hybridMultilevel"/>
    <w:tmpl w:val="FABA3E5A"/>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20E5173E"/>
    <w:multiLevelType w:val="hybridMultilevel"/>
    <w:tmpl w:val="B4EE8190"/>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21590A21"/>
    <w:multiLevelType w:val="hybridMultilevel"/>
    <w:tmpl w:val="68EECED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2152A7A"/>
    <w:multiLevelType w:val="hybridMultilevel"/>
    <w:tmpl w:val="2C7E5112"/>
    <w:lvl w:ilvl="0" w:tplc="240A000D">
      <w:start w:val="1"/>
      <w:numFmt w:val="bullet"/>
      <w:lvlText w:val=""/>
      <w:lvlJc w:val="left"/>
      <w:pPr>
        <w:ind w:left="544" w:hanging="356"/>
      </w:pPr>
      <w:rPr>
        <w:rFonts w:ascii="Wingdings" w:hAnsi="Wingdings" w:hint="default"/>
        <w:spacing w:val="-2"/>
        <w:w w:val="100"/>
        <w:sz w:val="22"/>
        <w:szCs w:val="22"/>
      </w:rPr>
    </w:lvl>
    <w:lvl w:ilvl="1" w:tplc="479EC6DC">
      <w:start w:val="1"/>
      <w:numFmt w:val="bullet"/>
      <w:lvlText w:val="•"/>
      <w:lvlJc w:val="left"/>
      <w:pPr>
        <w:ind w:left="1408" w:hanging="356"/>
      </w:pPr>
      <w:rPr>
        <w:rFonts w:hint="default"/>
      </w:rPr>
    </w:lvl>
    <w:lvl w:ilvl="2" w:tplc="8424F810">
      <w:start w:val="1"/>
      <w:numFmt w:val="bullet"/>
      <w:lvlText w:val="•"/>
      <w:lvlJc w:val="left"/>
      <w:pPr>
        <w:ind w:left="2276" w:hanging="356"/>
      </w:pPr>
      <w:rPr>
        <w:rFonts w:hint="default"/>
      </w:rPr>
    </w:lvl>
    <w:lvl w:ilvl="3" w:tplc="16CA9848">
      <w:start w:val="1"/>
      <w:numFmt w:val="bullet"/>
      <w:lvlText w:val="•"/>
      <w:lvlJc w:val="left"/>
      <w:pPr>
        <w:ind w:left="3144" w:hanging="356"/>
      </w:pPr>
      <w:rPr>
        <w:rFonts w:hint="default"/>
      </w:rPr>
    </w:lvl>
    <w:lvl w:ilvl="4" w:tplc="7960EFBC">
      <w:start w:val="1"/>
      <w:numFmt w:val="bullet"/>
      <w:lvlText w:val="•"/>
      <w:lvlJc w:val="left"/>
      <w:pPr>
        <w:ind w:left="4012" w:hanging="356"/>
      </w:pPr>
      <w:rPr>
        <w:rFonts w:hint="default"/>
      </w:rPr>
    </w:lvl>
    <w:lvl w:ilvl="5" w:tplc="C4ACB7A2">
      <w:start w:val="1"/>
      <w:numFmt w:val="bullet"/>
      <w:lvlText w:val="•"/>
      <w:lvlJc w:val="left"/>
      <w:pPr>
        <w:ind w:left="4881" w:hanging="356"/>
      </w:pPr>
      <w:rPr>
        <w:rFonts w:hint="default"/>
      </w:rPr>
    </w:lvl>
    <w:lvl w:ilvl="6" w:tplc="3EAA800C">
      <w:start w:val="1"/>
      <w:numFmt w:val="bullet"/>
      <w:lvlText w:val="•"/>
      <w:lvlJc w:val="left"/>
      <w:pPr>
        <w:ind w:left="5749" w:hanging="356"/>
      </w:pPr>
      <w:rPr>
        <w:rFonts w:hint="default"/>
      </w:rPr>
    </w:lvl>
    <w:lvl w:ilvl="7" w:tplc="D5B871EE">
      <w:start w:val="1"/>
      <w:numFmt w:val="bullet"/>
      <w:lvlText w:val="•"/>
      <w:lvlJc w:val="left"/>
      <w:pPr>
        <w:ind w:left="6617" w:hanging="356"/>
      </w:pPr>
      <w:rPr>
        <w:rFonts w:hint="default"/>
      </w:rPr>
    </w:lvl>
    <w:lvl w:ilvl="8" w:tplc="3566F408">
      <w:start w:val="1"/>
      <w:numFmt w:val="bullet"/>
      <w:lvlText w:val="•"/>
      <w:lvlJc w:val="left"/>
      <w:pPr>
        <w:ind w:left="7485" w:hanging="356"/>
      </w:pPr>
      <w:rPr>
        <w:rFonts w:hint="default"/>
      </w:rPr>
    </w:lvl>
  </w:abstractNum>
  <w:abstractNum w:abstractNumId="28" w15:restartNumberingAfterBreak="0">
    <w:nsid w:val="23EF3708"/>
    <w:multiLevelType w:val="hybridMultilevel"/>
    <w:tmpl w:val="DBA03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240917AC"/>
    <w:multiLevelType w:val="hybridMultilevel"/>
    <w:tmpl w:val="9C22418C"/>
    <w:lvl w:ilvl="0" w:tplc="1B2A8F6E">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250D2C7C"/>
    <w:multiLevelType w:val="hybridMultilevel"/>
    <w:tmpl w:val="927E7104"/>
    <w:lvl w:ilvl="0" w:tplc="240A000D">
      <w:start w:val="1"/>
      <w:numFmt w:val="bullet"/>
      <w:lvlText w:val=""/>
      <w:lvlJc w:val="left"/>
      <w:pPr>
        <w:ind w:left="720" w:hanging="360"/>
      </w:pPr>
      <w:rPr>
        <w:rFonts w:ascii="Wingdings" w:hAnsi="Wingdings" w:hint="default"/>
        <w:w w:val="100"/>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27E114D5"/>
    <w:multiLevelType w:val="hybridMultilevel"/>
    <w:tmpl w:val="9EF0FF68"/>
    <w:lvl w:ilvl="0" w:tplc="240A0019">
      <w:start w:val="1"/>
      <w:numFmt w:val="lowerLetter"/>
      <w:lvlText w:val="%1."/>
      <w:lvlJc w:val="left"/>
      <w:pPr>
        <w:ind w:left="360" w:hanging="360"/>
      </w:pPr>
      <w:rPr>
        <w:b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2" w15:restartNumberingAfterBreak="0">
    <w:nsid w:val="28F158A1"/>
    <w:multiLevelType w:val="hybridMultilevel"/>
    <w:tmpl w:val="E4C85DE2"/>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29AB51B6"/>
    <w:multiLevelType w:val="hybridMultilevel"/>
    <w:tmpl w:val="C34609CE"/>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29D80856"/>
    <w:multiLevelType w:val="hybridMultilevel"/>
    <w:tmpl w:val="E7DC8028"/>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2C55003B"/>
    <w:multiLevelType w:val="hybridMultilevel"/>
    <w:tmpl w:val="525E4E00"/>
    <w:lvl w:ilvl="0" w:tplc="240A000D">
      <w:start w:val="1"/>
      <w:numFmt w:val="bullet"/>
      <w:lvlText w:val=""/>
      <w:lvlJc w:val="left"/>
      <w:pPr>
        <w:ind w:left="720" w:hanging="360"/>
      </w:pPr>
      <w:rPr>
        <w:rFonts w:ascii="Wingdings" w:hAnsi="Wingdings" w:hint="default"/>
        <w:color w:val="000000"/>
        <w:w w:val="100"/>
        <w:sz w:val="22"/>
        <w:szCs w:val="22"/>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2C8A72A4"/>
    <w:multiLevelType w:val="hybridMultilevel"/>
    <w:tmpl w:val="920693B6"/>
    <w:lvl w:ilvl="0" w:tplc="557C0472">
      <w:start w:val="1"/>
      <w:numFmt w:val="lowerLetter"/>
      <w:lvlText w:val="%1."/>
      <w:lvlJc w:val="left"/>
      <w:pPr>
        <w:ind w:left="360" w:hanging="360"/>
      </w:pPr>
      <w:rPr>
        <w:b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2DE570D3"/>
    <w:multiLevelType w:val="hybridMultilevel"/>
    <w:tmpl w:val="1B6AFFA2"/>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38" w15:restartNumberingAfterBreak="0">
    <w:nsid w:val="2E2B564F"/>
    <w:multiLevelType w:val="hybridMultilevel"/>
    <w:tmpl w:val="A530D2A4"/>
    <w:lvl w:ilvl="0" w:tplc="240A000D">
      <w:start w:val="1"/>
      <w:numFmt w:val="bullet"/>
      <w:lvlText w:val=""/>
      <w:lvlJc w:val="left"/>
      <w:pPr>
        <w:ind w:left="720" w:hanging="360"/>
      </w:pPr>
      <w:rPr>
        <w:rFonts w:ascii="Wingdings" w:hAnsi="Wingdings" w:hint="default"/>
        <w:w w:val="100"/>
        <w:sz w:val="22"/>
        <w:szCs w:val="22"/>
      </w:rPr>
    </w:lvl>
    <w:lvl w:ilvl="1" w:tplc="D50CD6AE">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2E5F3946"/>
    <w:multiLevelType w:val="hybridMultilevel"/>
    <w:tmpl w:val="5C8E14B8"/>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2EA64BD3"/>
    <w:multiLevelType w:val="hybridMultilevel"/>
    <w:tmpl w:val="60AAF0F4"/>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2F964C5D"/>
    <w:multiLevelType w:val="hybridMultilevel"/>
    <w:tmpl w:val="9738DB92"/>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42" w15:restartNumberingAfterBreak="0">
    <w:nsid w:val="30085F0D"/>
    <w:multiLevelType w:val="hybridMultilevel"/>
    <w:tmpl w:val="7716E97C"/>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32F232A1"/>
    <w:multiLevelType w:val="hybridMultilevel"/>
    <w:tmpl w:val="1C7C48E2"/>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44" w15:restartNumberingAfterBreak="0">
    <w:nsid w:val="33993873"/>
    <w:multiLevelType w:val="hybridMultilevel"/>
    <w:tmpl w:val="A07E9C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34CC2DF5"/>
    <w:multiLevelType w:val="hybridMultilevel"/>
    <w:tmpl w:val="AC4A1698"/>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380F4CB0"/>
    <w:multiLevelType w:val="hybridMultilevel"/>
    <w:tmpl w:val="D564E82A"/>
    <w:lvl w:ilvl="0" w:tplc="24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7" w15:restartNumberingAfterBreak="0">
    <w:nsid w:val="38A12BE0"/>
    <w:multiLevelType w:val="hybridMultilevel"/>
    <w:tmpl w:val="69E25E4A"/>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390B2009"/>
    <w:multiLevelType w:val="hybridMultilevel"/>
    <w:tmpl w:val="47B442A2"/>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39523768"/>
    <w:multiLevelType w:val="hybridMultilevel"/>
    <w:tmpl w:val="17F80898"/>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50" w15:restartNumberingAfterBreak="0">
    <w:nsid w:val="396476C1"/>
    <w:multiLevelType w:val="hybridMultilevel"/>
    <w:tmpl w:val="D40C6030"/>
    <w:lvl w:ilvl="0" w:tplc="240A000D">
      <w:start w:val="1"/>
      <w:numFmt w:val="bullet"/>
      <w:lvlText w:val=""/>
      <w:lvlJc w:val="left"/>
      <w:pPr>
        <w:ind w:left="720" w:hanging="360"/>
      </w:pPr>
      <w:rPr>
        <w:rFonts w:ascii="Wingdings" w:hAnsi="Wingdings" w:hint="default"/>
        <w:w w:val="100"/>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396A58A4"/>
    <w:multiLevelType w:val="hybridMultilevel"/>
    <w:tmpl w:val="BFB626EE"/>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52" w15:restartNumberingAfterBreak="0">
    <w:nsid w:val="3AD37F08"/>
    <w:multiLevelType w:val="hybridMultilevel"/>
    <w:tmpl w:val="371CB906"/>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3D9D7A90"/>
    <w:multiLevelType w:val="hybridMultilevel"/>
    <w:tmpl w:val="8E501742"/>
    <w:lvl w:ilvl="0" w:tplc="240A000D">
      <w:start w:val="1"/>
      <w:numFmt w:val="bullet"/>
      <w:lvlText w:val=""/>
      <w:lvlJc w:val="left"/>
      <w:pPr>
        <w:ind w:left="720" w:hanging="360"/>
      </w:pPr>
      <w:rPr>
        <w:rFonts w:ascii="Wingdings" w:hAnsi="Wingdings" w:hint="default"/>
        <w:w w:val="100"/>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3F6B26A4"/>
    <w:multiLevelType w:val="hybridMultilevel"/>
    <w:tmpl w:val="48B47D5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4053757B"/>
    <w:multiLevelType w:val="hybridMultilevel"/>
    <w:tmpl w:val="83863D0E"/>
    <w:lvl w:ilvl="0" w:tplc="240A000D">
      <w:start w:val="1"/>
      <w:numFmt w:val="bullet"/>
      <w:lvlText w:val=""/>
      <w:lvlJc w:val="left"/>
      <w:pPr>
        <w:tabs>
          <w:tab w:val="num" w:pos="360"/>
        </w:tabs>
        <w:ind w:left="360" w:hanging="360"/>
      </w:pPr>
      <w:rPr>
        <w:rFonts w:ascii="Wingdings" w:hAnsi="Wingding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6" w15:restartNumberingAfterBreak="0">
    <w:nsid w:val="43415956"/>
    <w:multiLevelType w:val="hybridMultilevel"/>
    <w:tmpl w:val="6AB4F9E2"/>
    <w:lvl w:ilvl="0" w:tplc="FBA6D29C">
      <w:start w:val="1"/>
      <w:numFmt w:val="lowerLetter"/>
      <w:lvlText w:val="%1."/>
      <w:lvlJc w:val="left"/>
      <w:pPr>
        <w:ind w:left="360" w:hanging="360"/>
      </w:pPr>
      <w:rPr>
        <w:rFonts w:hint="default"/>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7" w15:restartNumberingAfterBreak="0">
    <w:nsid w:val="434B56AB"/>
    <w:multiLevelType w:val="hybridMultilevel"/>
    <w:tmpl w:val="33861BCC"/>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44B64B1D"/>
    <w:multiLevelType w:val="hybridMultilevel"/>
    <w:tmpl w:val="0FDCE36C"/>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15:restartNumberingAfterBreak="0">
    <w:nsid w:val="44D0262F"/>
    <w:multiLevelType w:val="hybridMultilevel"/>
    <w:tmpl w:val="2B5AA64C"/>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46834A14"/>
    <w:multiLevelType w:val="multilevel"/>
    <w:tmpl w:val="4838E024"/>
    <w:lvl w:ilvl="0">
      <w:start w:val="13"/>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15:restartNumberingAfterBreak="0">
    <w:nsid w:val="492251AB"/>
    <w:multiLevelType w:val="hybridMultilevel"/>
    <w:tmpl w:val="BDBC77E4"/>
    <w:lvl w:ilvl="0" w:tplc="240A0001">
      <w:start w:val="1"/>
      <w:numFmt w:val="bullet"/>
      <w:lvlText w:val=""/>
      <w:lvlJc w:val="left"/>
      <w:pPr>
        <w:ind w:left="2138" w:hanging="360"/>
      </w:pPr>
      <w:rPr>
        <w:rFonts w:ascii="Symbol" w:hAnsi="Symbol" w:hint="default"/>
      </w:rPr>
    </w:lvl>
    <w:lvl w:ilvl="1" w:tplc="240A0003">
      <w:start w:val="1"/>
      <w:numFmt w:val="bullet"/>
      <w:lvlText w:val="o"/>
      <w:lvlJc w:val="left"/>
      <w:pPr>
        <w:ind w:left="2858" w:hanging="360"/>
      </w:pPr>
      <w:rPr>
        <w:rFonts w:ascii="Courier New" w:hAnsi="Courier New" w:cs="Courier New" w:hint="default"/>
      </w:rPr>
    </w:lvl>
    <w:lvl w:ilvl="2" w:tplc="240A0005" w:tentative="1">
      <w:start w:val="1"/>
      <w:numFmt w:val="bullet"/>
      <w:lvlText w:val=""/>
      <w:lvlJc w:val="left"/>
      <w:pPr>
        <w:ind w:left="3578" w:hanging="360"/>
      </w:pPr>
      <w:rPr>
        <w:rFonts w:ascii="Wingdings" w:hAnsi="Wingdings" w:hint="default"/>
      </w:rPr>
    </w:lvl>
    <w:lvl w:ilvl="3" w:tplc="240A0001" w:tentative="1">
      <w:start w:val="1"/>
      <w:numFmt w:val="bullet"/>
      <w:lvlText w:val=""/>
      <w:lvlJc w:val="left"/>
      <w:pPr>
        <w:ind w:left="4298" w:hanging="360"/>
      </w:pPr>
      <w:rPr>
        <w:rFonts w:ascii="Symbol" w:hAnsi="Symbol" w:hint="default"/>
      </w:rPr>
    </w:lvl>
    <w:lvl w:ilvl="4" w:tplc="240A0003" w:tentative="1">
      <w:start w:val="1"/>
      <w:numFmt w:val="bullet"/>
      <w:lvlText w:val="o"/>
      <w:lvlJc w:val="left"/>
      <w:pPr>
        <w:ind w:left="5018" w:hanging="360"/>
      </w:pPr>
      <w:rPr>
        <w:rFonts w:ascii="Courier New" w:hAnsi="Courier New" w:cs="Courier New" w:hint="default"/>
      </w:rPr>
    </w:lvl>
    <w:lvl w:ilvl="5" w:tplc="240A0005" w:tentative="1">
      <w:start w:val="1"/>
      <w:numFmt w:val="bullet"/>
      <w:lvlText w:val=""/>
      <w:lvlJc w:val="left"/>
      <w:pPr>
        <w:ind w:left="5738" w:hanging="360"/>
      </w:pPr>
      <w:rPr>
        <w:rFonts w:ascii="Wingdings" w:hAnsi="Wingdings" w:hint="default"/>
      </w:rPr>
    </w:lvl>
    <w:lvl w:ilvl="6" w:tplc="240A0001" w:tentative="1">
      <w:start w:val="1"/>
      <w:numFmt w:val="bullet"/>
      <w:lvlText w:val=""/>
      <w:lvlJc w:val="left"/>
      <w:pPr>
        <w:ind w:left="6458" w:hanging="360"/>
      </w:pPr>
      <w:rPr>
        <w:rFonts w:ascii="Symbol" w:hAnsi="Symbol" w:hint="default"/>
      </w:rPr>
    </w:lvl>
    <w:lvl w:ilvl="7" w:tplc="240A0003" w:tentative="1">
      <w:start w:val="1"/>
      <w:numFmt w:val="bullet"/>
      <w:lvlText w:val="o"/>
      <w:lvlJc w:val="left"/>
      <w:pPr>
        <w:ind w:left="7178" w:hanging="360"/>
      </w:pPr>
      <w:rPr>
        <w:rFonts w:ascii="Courier New" w:hAnsi="Courier New" w:cs="Courier New" w:hint="default"/>
      </w:rPr>
    </w:lvl>
    <w:lvl w:ilvl="8" w:tplc="240A0005" w:tentative="1">
      <w:start w:val="1"/>
      <w:numFmt w:val="bullet"/>
      <w:lvlText w:val=""/>
      <w:lvlJc w:val="left"/>
      <w:pPr>
        <w:ind w:left="7898" w:hanging="360"/>
      </w:pPr>
      <w:rPr>
        <w:rFonts w:ascii="Wingdings" w:hAnsi="Wingdings" w:hint="default"/>
      </w:rPr>
    </w:lvl>
  </w:abstractNum>
  <w:abstractNum w:abstractNumId="62" w15:restartNumberingAfterBreak="0">
    <w:nsid w:val="496A2261"/>
    <w:multiLevelType w:val="hybridMultilevel"/>
    <w:tmpl w:val="18E683CC"/>
    <w:lvl w:ilvl="0" w:tplc="950C5450">
      <w:numFmt w:val="bullet"/>
      <w:lvlText w:val=""/>
      <w:lvlJc w:val="left"/>
      <w:pPr>
        <w:ind w:left="1260" w:hanging="361"/>
      </w:pPr>
      <w:rPr>
        <w:rFonts w:ascii="Wingdings" w:eastAsia="Wingdings" w:hAnsi="Wingdings" w:cs="Wingdings" w:hint="default"/>
        <w:w w:val="100"/>
        <w:sz w:val="22"/>
        <w:szCs w:val="22"/>
        <w:lang w:val="es-ES" w:eastAsia="en-US" w:bidi="ar-SA"/>
      </w:rPr>
    </w:lvl>
    <w:lvl w:ilvl="1" w:tplc="FE84A2B8">
      <w:numFmt w:val="bullet"/>
      <w:lvlText w:val=""/>
      <w:lvlJc w:val="left"/>
      <w:pPr>
        <w:ind w:left="1620" w:hanging="360"/>
      </w:pPr>
      <w:rPr>
        <w:rFonts w:ascii="Wingdings" w:eastAsia="Wingdings" w:hAnsi="Wingdings" w:cs="Wingdings" w:hint="default"/>
        <w:w w:val="100"/>
        <w:sz w:val="22"/>
        <w:szCs w:val="22"/>
        <w:lang w:val="es-ES" w:eastAsia="en-US" w:bidi="ar-SA"/>
      </w:rPr>
    </w:lvl>
    <w:lvl w:ilvl="2" w:tplc="ED349B14">
      <w:numFmt w:val="bullet"/>
      <w:lvlText w:val="•"/>
      <w:lvlJc w:val="left"/>
      <w:pPr>
        <w:ind w:left="2664" w:hanging="360"/>
      </w:pPr>
      <w:rPr>
        <w:rFonts w:hint="default"/>
        <w:lang w:val="es-ES" w:eastAsia="en-US" w:bidi="ar-SA"/>
      </w:rPr>
    </w:lvl>
    <w:lvl w:ilvl="3" w:tplc="B4326830">
      <w:numFmt w:val="bullet"/>
      <w:lvlText w:val="•"/>
      <w:lvlJc w:val="left"/>
      <w:pPr>
        <w:ind w:left="3708" w:hanging="360"/>
      </w:pPr>
      <w:rPr>
        <w:rFonts w:hint="default"/>
        <w:lang w:val="es-ES" w:eastAsia="en-US" w:bidi="ar-SA"/>
      </w:rPr>
    </w:lvl>
    <w:lvl w:ilvl="4" w:tplc="9116845A">
      <w:numFmt w:val="bullet"/>
      <w:lvlText w:val="•"/>
      <w:lvlJc w:val="left"/>
      <w:pPr>
        <w:ind w:left="4753" w:hanging="360"/>
      </w:pPr>
      <w:rPr>
        <w:rFonts w:hint="default"/>
        <w:lang w:val="es-ES" w:eastAsia="en-US" w:bidi="ar-SA"/>
      </w:rPr>
    </w:lvl>
    <w:lvl w:ilvl="5" w:tplc="D9FE6BDE">
      <w:numFmt w:val="bullet"/>
      <w:lvlText w:val="•"/>
      <w:lvlJc w:val="left"/>
      <w:pPr>
        <w:ind w:left="5797" w:hanging="360"/>
      </w:pPr>
      <w:rPr>
        <w:rFonts w:hint="default"/>
        <w:lang w:val="es-ES" w:eastAsia="en-US" w:bidi="ar-SA"/>
      </w:rPr>
    </w:lvl>
    <w:lvl w:ilvl="6" w:tplc="9B523532">
      <w:numFmt w:val="bullet"/>
      <w:lvlText w:val="•"/>
      <w:lvlJc w:val="left"/>
      <w:pPr>
        <w:ind w:left="6842" w:hanging="360"/>
      </w:pPr>
      <w:rPr>
        <w:rFonts w:hint="default"/>
        <w:lang w:val="es-ES" w:eastAsia="en-US" w:bidi="ar-SA"/>
      </w:rPr>
    </w:lvl>
    <w:lvl w:ilvl="7" w:tplc="447EF5D4">
      <w:numFmt w:val="bullet"/>
      <w:lvlText w:val="•"/>
      <w:lvlJc w:val="left"/>
      <w:pPr>
        <w:ind w:left="7886" w:hanging="360"/>
      </w:pPr>
      <w:rPr>
        <w:rFonts w:hint="default"/>
        <w:lang w:val="es-ES" w:eastAsia="en-US" w:bidi="ar-SA"/>
      </w:rPr>
    </w:lvl>
    <w:lvl w:ilvl="8" w:tplc="508C66D6">
      <w:numFmt w:val="bullet"/>
      <w:lvlText w:val="•"/>
      <w:lvlJc w:val="left"/>
      <w:pPr>
        <w:ind w:left="8931" w:hanging="360"/>
      </w:pPr>
      <w:rPr>
        <w:rFonts w:hint="default"/>
        <w:lang w:val="es-ES" w:eastAsia="en-US" w:bidi="ar-SA"/>
      </w:rPr>
    </w:lvl>
  </w:abstractNum>
  <w:abstractNum w:abstractNumId="63" w15:restartNumberingAfterBreak="0">
    <w:nsid w:val="49CD7C36"/>
    <w:multiLevelType w:val="hybridMultilevel"/>
    <w:tmpl w:val="10109B64"/>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4" w15:restartNumberingAfterBreak="0">
    <w:nsid w:val="4AA57098"/>
    <w:multiLevelType w:val="hybridMultilevel"/>
    <w:tmpl w:val="BE565EDE"/>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65" w15:restartNumberingAfterBreak="0">
    <w:nsid w:val="4AF6766E"/>
    <w:multiLevelType w:val="hybridMultilevel"/>
    <w:tmpl w:val="7D3CE4EA"/>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6" w15:restartNumberingAfterBreak="0">
    <w:nsid w:val="4B1D5B54"/>
    <w:multiLevelType w:val="hybridMultilevel"/>
    <w:tmpl w:val="E5B02F04"/>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67" w15:restartNumberingAfterBreak="0">
    <w:nsid w:val="4B914978"/>
    <w:multiLevelType w:val="hybridMultilevel"/>
    <w:tmpl w:val="D3CE378A"/>
    <w:lvl w:ilvl="0" w:tplc="240A000D">
      <w:start w:val="1"/>
      <w:numFmt w:val="bullet"/>
      <w:lvlText w:val=""/>
      <w:lvlJc w:val="left"/>
      <w:pPr>
        <w:ind w:left="720" w:hanging="360"/>
      </w:pPr>
      <w:rPr>
        <w:rFonts w:ascii="Wingdings" w:hAnsi="Wingdings" w:hint="default"/>
      </w:rPr>
    </w:lvl>
    <w:lvl w:ilvl="1" w:tplc="1A36115C">
      <w:start w:val="1"/>
      <w:numFmt w:val="decimal"/>
      <w:lvlText w:val="%2-"/>
      <w:lvlJc w:val="left"/>
      <w:pPr>
        <w:ind w:left="1515" w:hanging="43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4C186AED"/>
    <w:multiLevelType w:val="hybridMultilevel"/>
    <w:tmpl w:val="9794AE18"/>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9" w15:restartNumberingAfterBreak="0">
    <w:nsid w:val="4E3D429B"/>
    <w:multiLevelType w:val="hybridMultilevel"/>
    <w:tmpl w:val="E168EE38"/>
    <w:lvl w:ilvl="0" w:tplc="240A000D">
      <w:start w:val="1"/>
      <w:numFmt w:val="bullet"/>
      <w:lvlText w:val=""/>
      <w:lvlJc w:val="left"/>
      <w:pPr>
        <w:ind w:left="544" w:hanging="356"/>
      </w:pPr>
      <w:rPr>
        <w:rFonts w:ascii="Wingdings" w:hAnsi="Wingdings" w:hint="default"/>
        <w:spacing w:val="-2"/>
        <w:w w:val="100"/>
        <w:sz w:val="22"/>
        <w:szCs w:val="22"/>
      </w:rPr>
    </w:lvl>
    <w:lvl w:ilvl="1" w:tplc="479EC6DC">
      <w:start w:val="1"/>
      <w:numFmt w:val="bullet"/>
      <w:lvlText w:val="•"/>
      <w:lvlJc w:val="left"/>
      <w:pPr>
        <w:ind w:left="1408" w:hanging="356"/>
      </w:pPr>
      <w:rPr>
        <w:rFonts w:hint="default"/>
      </w:rPr>
    </w:lvl>
    <w:lvl w:ilvl="2" w:tplc="8424F810">
      <w:start w:val="1"/>
      <w:numFmt w:val="bullet"/>
      <w:lvlText w:val="•"/>
      <w:lvlJc w:val="left"/>
      <w:pPr>
        <w:ind w:left="2276" w:hanging="356"/>
      </w:pPr>
      <w:rPr>
        <w:rFonts w:hint="default"/>
      </w:rPr>
    </w:lvl>
    <w:lvl w:ilvl="3" w:tplc="16CA9848">
      <w:start w:val="1"/>
      <w:numFmt w:val="bullet"/>
      <w:lvlText w:val="•"/>
      <w:lvlJc w:val="left"/>
      <w:pPr>
        <w:ind w:left="3144" w:hanging="356"/>
      </w:pPr>
      <w:rPr>
        <w:rFonts w:hint="default"/>
      </w:rPr>
    </w:lvl>
    <w:lvl w:ilvl="4" w:tplc="7960EFBC">
      <w:start w:val="1"/>
      <w:numFmt w:val="bullet"/>
      <w:lvlText w:val="•"/>
      <w:lvlJc w:val="left"/>
      <w:pPr>
        <w:ind w:left="4012" w:hanging="356"/>
      </w:pPr>
      <w:rPr>
        <w:rFonts w:hint="default"/>
      </w:rPr>
    </w:lvl>
    <w:lvl w:ilvl="5" w:tplc="C4ACB7A2">
      <w:start w:val="1"/>
      <w:numFmt w:val="bullet"/>
      <w:lvlText w:val="•"/>
      <w:lvlJc w:val="left"/>
      <w:pPr>
        <w:ind w:left="4881" w:hanging="356"/>
      </w:pPr>
      <w:rPr>
        <w:rFonts w:hint="default"/>
      </w:rPr>
    </w:lvl>
    <w:lvl w:ilvl="6" w:tplc="3EAA800C">
      <w:start w:val="1"/>
      <w:numFmt w:val="bullet"/>
      <w:lvlText w:val="•"/>
      <w:lvlJc w:val="left"/>
      <w:pPr>
        <w:ind w:left="5749" w:hanging="356"/>
      </w:pPr>
      <w:rPr>
        <w:rFonts w:hint="default"/>
      </w:rPr>
    </w:lvl>
    <w:lvl w:ilvl="7" w:tplc="D5B871EE">
      <w:start w:val="1"/>
      <w:numFmt w:val="bullet"/>
      <w:lvlText w:val="•"/>
      <w:lvlJc w:val="left"/>
      <w:pPr>
        <w:ind w:left="6617" w:hanging="356"/>
      </w:pPr>
      <w:rPr>
        <w:rFonts w:hint="default"/>
      </w:rPr>
    </w:lvl>
    <w:lvl w:ilvl="8" w:tplc="3566F408">
      <w:start w:val="1"/>
      <w:numFmt w:val="bullet"/>
      <w:lvlText w:val="•"/>
      <w:lvlJc w:val="left"/>
      <w:pPr>
        <w:ind w:left="7485" w:hanging="356"/>
      </w:pPr>
      <w:rPr>
        <w:rFonts w:hint="default"/>
      </w:rPr>
    </w:lvl>
  </w:abstractNum>
  <w:abstractNum w:abstractNumId="70" w15:restartNumberingAfterBreak="0">
    <w:nsid w:val="4F1E0832"/>
    <w:multiLevelType w:val="hybridMultilevel"/>
    <w:tmpl w:val="1826AF80"/>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71" w15:restartNumberingAfterBreak="0">
    <w:nsid w:val="4F9A0363"/>
    <w:multiLevelType w:val="hybridMultilevel"/>
    <w:tmpl w:val="4EC43972"/>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50F10461"/>
    <w:multiLevelType w:val="multilevel"/>
    <w:tmpl w:val="3ED85E82"/>
    <w:lvl w:ilvl="0">
      <w:start w:val="5"/>
      <w:numFmt w:val="decimal"/>
      <w:lvlText w:val="%1"/>
      <w:lvlJc w:val="left"/>
      <w:pPr>
        <w:ind w:left="405" w:hanging="40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52EC6489"/>
    <w:multiLevelType w:val="hybridMultilevel"/>
    <w:tmpl w:val="6D5036E4"/>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4" w15:restartNumberingAfterBreak="0">
    <w:nsid w:val="54AF78D7"/>
    <w:multiLevelType w:val="hybridMultilevel"/>
    <w:tmpl w:val="400C81D2"/>
    <w:lvl w:ilvl="0" w:tplc="240A000D">
      <w:start w:val="1"/>
      <w:numFmt w:val="bullet"/>
      <w:lvlText w:val=""/>
      <w:lvlJc w:val="left"/>
      <w:pPr>
        <w:ind w:left="360" w:hanging="360"/>
      </w:pPr>
      <w:rPr>
        <w:rFonts w:ascii="Wingdings" w:hAnsi="Wingding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5" w15:restartNumberingAfterBreak="0">
    <w:nsid w:val="568B4E19"/>
    <w:multiLevelType w:val="hybridMultilevel"/>
    <w:tmpl w:val="C2E20EBC"/>
    <w:lvl w:ilvl="0" w:tplc="240A000D">
      <w:start w:val="1"/>
      <w:numFmt w:val="bullet"/>
      <w:lvlText w:val=""/>
      <w:lvlJc w:val="left"/>
      <w:pPr>
        <w:tabs>
          <w:tab w:val="num" w:pos="360"/>
        </w:tabs>
        <w:ind w:left="360" w:hanging="360"/>
      </w:pPr>
      <w:rPr>
        <w:rFonts w:ascii="Wingdings" w:hAnsi="Wingding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6" w15:restartNumberingAfterBreak="0">
    <w:nsid w:val="57837C77"/>
    <w:multiLevelType w:val="hybridMultilevel"/>
    <w:tmpl w:val="385A62D8"/>
    <w:lvl w:ilvl="0" w:tplc="240A0019">
      <w:start w:val="1"/>
      <w:numFmt w:val="lowerLetter"/>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7" w15:restartNumberingAfterBreak="0">
    <w:nsid w:val="59A6020B"/>
    <w:multiLevelType w:val="hybridMultilevel"/>
    <w:tmpl w:val="971C8072"/>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78" w15:restartNumberingAfterBreak="0">
    <w:nsid w:val="5B731828"/>
    <w:multiLevelType w:val="hybridMultilevel"/>
    <w:tmpl w:val="C2469BF2"/>
    <w:lvl w:ilvl="0" w:tplc="240A000D">
      <w:start w:val="1"/>
      <w:numFmt w:val="bullet"/>
      <w:lvlText w:val=""/>
      <w:lvlJc w:val="left"/>
      <w:pPr>
        <w:ind w:left="36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9" w15:restartNumberingAfterBreak="0">
    <w:nsid w:val="5BAC221A"/>
    <w:multiLevelType w:val="hybridMultilevel"/>
    <w:tmpl w:val="09C2CB0E"/>
    <w:lvl w:ilvl="0" w:tplc="240A000D">
      <w:start w:val="1"/>
      <w:numFmt w:val="bullet"/>
      <w:lvlText w:val=""/>
      <w:lvlJc w:val="left"/>
      <w:pPr>
        <w:ind w:left="720" w:hanging="360"/>
      </w:pPr>
      <w:rPr>
        <w:rFonts w:ascii="Wingdings" w:hAnsi="Wingdings" w:hint="default"/>
        <w:w w:val="100"/>
        <w:sz w:val="22"/>
        <w:szCs w:val="22"/>
      </w:rPr>
    </w:lvl>
    <w:lvl w:ilvl="1" w:tplc="D50CD6AE">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5C0623CF"/>
    <w:multiLevelType w:val="hybridMultilevel"/>
    <w:tmpl w:val="EF0649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5DA2549F"/>
    <w:multiLevelType w:val="hybridMultilevel"/>
    <w:tmpl w:val="4BE4B78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2" w15:restartNumberingAfterBreak="0">
    <w:nsid w:val="603B0B0B"/>
    <w:multiLevelType w:val="hybridMultilevel"/>
    <w:tmpl w:val="AF0CF4FE"/>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3" w15:restartNumberingAfterBreak="0">
    <w:nsid w:val="61C32ECD"/>
    <w:multiLevelType w:val="hybridMultilevel"/>
    <w:tmpl w:val="740C852C"/>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4" w15:restartNumberingAfterBreak="0">
    <w:nsid w:val="63FF0044"/>
    <w:multiLevelType w:val="hybridMultilevel"/>
    <w:tmpl w:val="AB4AB9A6"/>
    <w:lvl w:ilvl="0" w:tplc="C9428B6A">
      <w:start w:val="1"/>
      <w:numFmt w:val="lowerLetter"/>
      <w:lvlText w:val="%1."/>
      <w:lvlJc w:val="left"/>
      <w:pPr>
        <w:ind w:left="360" w:hanging="360"/>
      </w:pPr>
      <w:rPr>
        <w:b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5" w15:restartNumberingAfterBreak="0">
    <w:nsid w:val="640B3C7E"/>
    <w:multiLevelType w:val="hybridMultilevel"/>
    <w:tmpl w:val="722C9776"/>
    <w:lvl w:ilvl="0" w:tplc="9D322BC4">
      <w:start w:val="1"/>
      <w:numFmt w:val="upperRoman"/>
      <w:lvlText w:val="%1."/>
      <w:lvlJc w:val="left"/>
      <w:pPr>
        <w:ind w:left="1080" w:hanging="72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6" w15:restartNumberingAfterBreak="0">
    <w:nsid w:val="645971D6"/>
    <w:multiLevelType w:val="hybridMultilevel"/>
    <w:tmpl w:val="F1E44996"/>
    <w:lvl w:ilvl="0" w:tplc="240A000D">
      <w:start w:val="1"/>
      <w:numFmt w:val="bullet"/>
      <w:lvlText w:val=""/>
      <w:lvlJc w:val="left"/>
      <w:pPr>
        <w:ind w:left="644" w:hanging="360"/>
      </w:pPr>
      <w:rPr>
        <w:rFonts w:ascii="Wingdings" w:hAnsi="Wingdings" w:hint="default"/>
        <w:w w:val="100"/>
        <w:sz w:val="22"/>
        <w:szCs w:val="22"/>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87" w15:restartNumberingAfterBreak="0">
    <w:nsid w:val="65677CE0"/>
    <w:multiLevelType w:val="hybridMultilevel"/>
    <w:tmpl w:val="EE328D32"/>
    <w:lvl w:ilvl="0" w:tplc="240A000D">
      <w:start w:val="1"/>
      <w:numFmt w:val="bullet"/>
      <w:lvlText w:val=""/>
      <w:lvlJc w:val="left"/>
      <w:pPr>
        <w:ind w:left="901" w:hanging="360"/>
      </w:pPr>
      <w:rPr>
        <w:rFonts w:ascii="Wingdings" w:hAnsi="Wingdings" w:hint="default"/>
        <w:w w:val="100"/>
        <w:sz w:val="22"/>
        <w:szCs w:val="22"/>
      </w:rPr>
    </w:lvl>
    <w:lvl w:ilvl="1" w:tplc="240A0019" w:tentative="1">
      <w:start w:val="1"/>
      <w:numFmt w:val="lowerLetter"/>
      <w:lvlText w:val="%2."/>
      <w:lvlJc w:val="left"/>
      <w:pPr>
        <w:ind w:left="1621" w:hanging="360"/>
      </w:pPr>
    </w:lvl>
    <w:lvl w:ilvl="2" w:tplc="240A001B" w:tentative="1">
      <w:start w:val="1"/>
      <w:numFmt w:val="lowerRoman"/>
      <w:lvlText w:val="%3."/>
      <w:lvlJc w:val="right"/>
      <w:pPr>
        <w:ind w:left="2341" w:hanging="180"/>
      </w:pPr>
    </w:lvl>
    <w:lvl w:ilvl="3" w:tplc="240A000F" w:tentative="1">
      <w:start w:val="1"/>
      <w:numFmt w:val="decimal"/>
      <w:lvlText w:val="%4."/>
      <w:lvlJc w:val="left"/>
      <w:pPr>
        <w:ind w:left="3061" w:hanging="360"/>
      </w:pPr>
    </w:lvl>
    <w:lvl w:ilvl="4" w:tplc="240A0019" w:tentative="1">
      <w:start w:val="1"/>
      <w:numFmt w:val="lowerLetter"/>
      <w:lvlText w:val="%5."/>
      <w:lvlJc w:val="left"/>
      <w:pPr>
        <w:ind w:left="3781" w:hanging="360"/>
      </w:pPr>
    </w:lvl>
    <w:lvl w:ilvl="5" w:tplc="240A001B" w:tentative="1">
      <w:start w:val="1"/>
      <w:numFmt w:val="lowerRoman"/>
      <w:lvlText w:val="%6."/>
      <w:lvlJc w:val="right"/>
      <w:pPr>
        <w:ind w:left="4501" w:hanging="180"/>
      </w:pPr>
    </w:lvl>
    <w:lvl w:ilvl="6" w:tplc="240A000F" w:tentative="1">
      <w:start w:val="1"/>
      <w:numFmt w:val="decimal"/>
      <w:lvlText w:val="%7."/>
      <w:lvlJc w:val="left"/>
      <w:pPr>
        <w:ind w:left="5221" w:hanging="360"/>
      </w:pPr>
    </w:lvl>
    <w:lvl w:ilvl="7" w:tplc="240A0019" w:tentative="1">
      <w:start w:val="1"/>
      <w:numFmt w:val="lowerLetter"/>
      <w:lvlText w:val="%8."/>
      <w:lvlJc w:val="left"/>
      <w:pPr>
        <w:ind w:left="5941" w:hanging="360"/>
      </w:pPr>
    </w:lvl>
    <w:lvl w:ilvl="8" w:tplc="240A001B" w:tentative="1">
      <w:start w:val="1"/>
      <w:numFmt w:val="lowerRoman"/>
      <w:lvlText w:val="%9."/>
      <w:lvlJc w:val="right"/>
      <w:pPr>
        <w:ind w:left="6661" w:hanging="180"/>
      </w:pPr>
    </w:lvl>
  </w:abstractNum>
  <w:abstractNum w:abstractNumId="88" w15:restartNumberingAfterBreak="0">
    <w:nsid w:val="65A2358C"/>
    <w:multiLevelType w:val="hybridMultilevel"/>
    <w:tmpl w:val="368AB280"/>
    <w:lvl w:ilvl="0" w:tplc="240A000D">
      <w:start w:val="1"/>
      <w:numFmt w:val="bullet"/>
      <w:lvlText w:val=""/>
      <w:lvlJc w:val="left"/>
      <w:pPr>
        <w:ind w:left="720" w:hanging="360"/>
      </w:pPr>
      <w:rPr>
        <w:rFonts w:ascii="Wingdings" w:hAnsi="Wingdings" w:hint="default"/>
        <w:w w:val="100"/>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66C4333C"/>
    <w:multiLevelType w:val="hybridMultilevel"/>
    <w:tmpl w:val="9906F2A0"/>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0" w15:restartNumberingAfterBreak="0">
    <w:nsid w:val="6D33010F"/>
    <w:multiLevelType w:val="hybridMultilevel"/>
    <w:tmpl w:val="E1AE7630"/>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1" w15:restartNumberingAfterBreak="0">
    <w:nsid w:val="6D6515C4"/>
    <w:multiLevelType w:val="hybridMultilevel"/>
    <w:tmpl w:val="5C78DB1E"/>
    <w:lvl w:ilvl="0" w:tplc="240A000D">
      <w:start w:val="1"/>
      <w:numFmt w:val="bullet"/>
      <w:lvlText w:val=""/>
      <w:lvlJc w:val="left"/>
      <w:pPr>
        <w:tabs>
          <w:tab w:val="num" w:pos="360"/>
        </w:tabs>
        <w:ind w:left="360" w:hanging="360"/>
      </w:pPr>
      <w:rPr>
        <w:rFonts w:ascii="Wingdings" w:hAnsi="Wingding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2" w15:restartNumberingAfterBreak="0">
    <w:nsid w:val="6D965C05"/>
    <w:multiLevelType w:val="hybridMultilevel"/>
    <w:tmpl w:val="FAE0F90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3" w15:restartNumberingAfterBreak="0">
    <w:nsid w:val="6F457707"/>
    <w:multiLevelType w:val="hybridMultilevel"/>
    <w:tmpl w:val="321486F2"/>
    <w:lvl w:ilvl="0" w:tplc="240A000D">
      <w:start w:val="1"/>
      <w:numFmt w:val="bullet"/>
      <w:lvlText w:val=""/>
      <w:lvlJc w:val="left"/>
      <w:pPr>
        <w:ind w:left="720" w:hanging="360"/>
      </w:pPr>
      <w:rPr>
        <w:rFonts w:ascii="Wingdings" w:hAnsi="Wingdings" w:hint="default"/>
        <w:w w:val="10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4" w15:restartNumberingAfterBreak="0">
    <w:nsid w:val="746A60E0"/>
    <w:multiLevelType w:val="hybridMultilevel"/>
    <w:tmpl w:val="6B643F54"/>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5" w15:restartNumberingAfterBreak="0">
    <w:nsid w:val="750D35F7"/>
    <w:multiLevelType w:val="hybridMultilevel"/>
    <w:tmpl w:val="EF30CAD0"/>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6" w15:restartNumberingAfterBreak="0">
    <w:nsid w:val="7B5B258F"/>
    <w:multiLevelType w:val="hybridMultilevel"/>
    <w:tmpl w:val="CC0C84D0"/>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7" w15:restartNumberingAfterBreak="0">
    <w:nsid w:val="7FA07DB9"/>
    <w:multiLevelType w:val="hybridMultilevel"/>
    <w:tmpl w:val="2998F26E"/>
    <w:lvl w:ilvl="0" w:tplc="2F8C8A5C">
      <w:start w:val="1"/>
      <w:numFmt w:val="lowerLetter"/>
      <w:lvlText w:val="%1."/>
      <w:lvlJc w:val="left"/>
      <w:pPr>
        <w:ind w:left="360" w:hanging="360"/>
      </w:pPr>
      <w:rPr>
        <w:b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2059936293">
    <w:abstractNumId w:val="85"/>
  </w:num>
  <w:num w:numId="2" w16cid:durableId="191380041">
    <w:abstractNumId w:val="10"/>
  </w:num>
  <w:num w:numId="3" w16cid:durableId="1114906634">
    <w:abstractNumId w:val="46"/>
  </w:num>
  <w:num w:numId="4" w16cid:durableId="1581284095">
    <w:abstractNumId w:val="31"/>
  </w:num>
  <w:num w:numId="5" w16cid:durableId="1637679627">
    <w:abstractNumId w:val="97"/>
  </w:num>
  <w:num w:numId="6" w16cid:durableId="133564222">
    <w:abstractNumId w:val="36"/>
  </w:num>
  <w:num w:numId="7" w16cid:durableId="336621390">
    <w:abstractNumId w:val="76"/>
  </w:num>
  <w:num w:numId="8" w16cid:durableId="1588686101">
    <w:abstractNumId w:val="56"/>
  </w:num>
  <w:num w:numId="9" w16cid:durableId="293681214">
    <w:abstractNumId w:val="84"/>
  </w:num>
  <w:num w:numId="10" w16cid:durableId="1554124103">
    <w:abstractNumId w:val="48"/>
  </w:num>
  <w:num w:numId="11" w16cid:durableId="183518648">
    <w:abstractNumId w:val="29"/>
  </w:num>
  <w:num w:numId="12" w16cid:durableId="1722049232">
    <w:abstractNumId w:val="1"/>
  </w:num>
  <w:num w:numId="13" w16cid:durableId="449982735">
    <w:abstractNumId w:val="4"/>
  </w:num>
  <w:num w:numId="14" w16cid:durableId="1283461139">
    <w:abstractNumId w:val="28"/>
  </w:num>
  <w:num w:numId="15" w16cid:durableId="1266813081">
    <w:abstractNumId w:val="81"/>
  </w:num>
  <w:num w:numId="16" w16cid:durableId="1956519574">
    <w:abstractNumId w:val="15"/>
  </w:num>
  <w:num w:numId="17" w16cid:durableId="912857679">
    <w:abstractNumId w:val="61"/>
  </w:num>
  <w:num w:numId="18" w16cid:durableId="1987976328">
    <w:abstractNumId w:val="14"/>
  </w:num>
  <w:num w:numId="19" w16cid:durableId="1374425623">
    <w:abstractNumId w:val="60"/>
  </w:num>
  <w:num w:numId="20" w16cid:durableId="829760371">
    <w:abstractNumId w:val="44"/>
  </w:num>
  <w:num w:numId="21" w16cid:durableId="817768324">
    <w:abstractNumId w:val="95"/>
  </w:num>
  <w:num w:numId="22" w16cid:durableId="924915869">
    <w:abstractNumId w:val="12"/>
  </w:num>
  <w:num w:numId="23" w16cid:durableId="1729181901">
    <w:abstractNumId w:val="9"/>
  </w:num>
  <w:num w:numId="24" w16cid:durableId="1306083033">
    <w:abstractNumId w:val="67"/>
  </w:num>
  <w:num w:numId="25" w16cid:durableId="1172183784">
    <w:abstractNumId w:val="71"/>
  </w:num>
  <w:num w:numId="26" w16cid:durableId="1534539028">
    <w:abstractNumId w:val="54"/>
  </w:num>
  <w:num w:numId="27" w16cid:durableId="1989283336">
    <w:abstractNumId w:val="91"/>
  </w:num>
  <w:num w:numId="28" w16cid:durableId="2003000845">
    <w:abstractNumId w:val="75"/>
  </w:num>
  <w:num w:numId="29" w16cid:durableId="1680110173">
    <w:abstractNumId w:val="55"/>
  </w:num>
  <w:num w:numId="30" w16cid:durableId="764155034">
    <w:abstractNumId w:val="74"/>
  </w:num>
  <w:num w:numId="31" w16cid:durableId="2036930257">
    <w:abstractNumId w:val="78"/>
  </w:num>
  <w:num w:numId="32" w16cid:durableId="2146269950">
    <w:abstractNumId w:val="32"/>
  </w:num>
  <w:num w:numId="33" w16cid:durableId="947736756">
    <w:abstractNumId w:val="13"/>
  </w:num>
  <w:num w:numId="34" w16cid:durableId="1028028408">
    <w:abstractNumId w:val="45"/>
  </w:num>
  <w:num w:numId="35" w16cid:durableId="1054038022">
    <w:abstractNumId w:val="30"/>
  </w:num>
  <w:num w:numId="36" w16cid:durableId="898520958">
    <w:abstractNumId w:val="26"/>
  </w:num>
  <w:num w:numId="37" w16cid:durableId="952591292">
    <w:abstractNumId w:val="18"/>
  </w:num>
  <w:num w:numId="38" w16cid:durableId="2091077725">
    <w:abstractNumId w:val="23"/>
  </w:num>
  <w:num w:numId="39" w16cid:durableId="973213140">
    <w:abstractNumId w:val="94"/>
  </w:num>
  <w:num w:numId="40" w16cid:durableId="753940196">
    <w:abstractNumId w:val="33"/>
  </w:num>
  <w:num w:numId="41" w16cid:durableId="2091154296">
    <w:abstractNumId w:val="0"/>
  </w:num>
  <w:num w:numId="42" w16cid:durableId="2044405832">
    <w:abstractNumId w:val="69"/>
  </w:num>
  <w:num w:numId="43" w16cid:durableId="508523129">
    <w:abstractNumId w:val="22"/>
  </w:num>
  <w:num w:numId="44" w16cid:durableId="1394084245">
    <w:abstractNumId w:val="27"/>
  </w:num>
  <w:num w:numId="45" w16cid:durableId="987319826">
    <w:abstractNumId w:val="43"/>
  </w:num>
  <w:num w:numId="46" w16cid:durableId="1527400895">
    <w:abstractNumId w:val="70"/>
  </w:num>
  <w:num w:numId="47" w16cid:durableId="1573813620">
    <w:abstractNumId w:val="21"/>
  </w:num>
  <w:num w:numId="48" w16cid:durableId="831684039">
    <w:abstractNumId w:val="86"/>
  </w:num>
  <w:num w:numId="49" w16cid:durableId="161090129">
    <w:abstractNumId w:val="66"/>
  </w:num>
  <w:num w:numId="50" w16cid:durableId="1762556738">
    <w:abstractNumId w:val="51"/>
  </w:num>
  <w:num w:numId="51" w16cid:durableId="1684014503">
    <w:abstractNumId w:val="73"/>
  </w:num>
  <w:num w:numId="52" w16cid:durableId="348457239">
    <w:abstractNumId w:val="25"/>
  </w:num>
  <w:num w:numId="53" w16cid:durableId="1765878868">
    <w:abstractNumId w:val="93"/>
  </w:num>
  <w:num w:numId="54" w16cid:durableId="1434860023">
    <w:abstractNumId w:val="63"/>
  </w:num>
  <w:num w:numId="55" w16cid:durableId="15278474">
    <w:abstractNumId w:val="6"/>
  </w:num>
  <w:num w:numId="56" w16cid:durableId="1377772656">
    <w:abstractNumId w:val="64"/>
  </w:num>
  <w:num w:numId="57" w16cid:durableId="482820533">
    <w:abstractNumId w:val="59"/>
  </w:num>
  <w:num w:numId="58" w16cid:durableId="152138596">
    <w:abstractNumId w:val="37"/>
  </w:num>
  <w:num w:numId="59" w16cid:durableId="651257409">
    <w:abstractNumId w:val="38"/>
  </w:num>
  <w:num w:numId="60" w16cid:durableId="658382879">
    <w:abstractNumId w:val="49"/>
  </w:num>
  <w:num w:numId="61" w16cid:durableId="1862815869">
    <w:abstractNumId w:val="8"/>
  </w:num>
  <w:num w:numId="62" w16cid:durableId="407464041">
    <w:abstractNumId w:val="87"/>
  </w:num>
  <w:num w:numId="63" w16cid:durableId="1092969482">
    <w:abstractNumId w:val="11"/>
  </w:num>
  <w:num w:numId="64" w16cid:durableId="528837366">
    <w:abstractNumId w:val="42"/>
  </w:num>
  <w:num w:numId="65" w16cid:durableId="770584272">
    <w:abstractNumId w:val="7"/>
  </w:num>
  <w:num w:numId="66" w16cid:durableId="219564047">
    <w:abstractNumId w:val="83"/>
  </w:num>
  <w:num w:numId="67" w16cid:durableId="470024661">
    <w:abstractNumId w:val="77"/>
  </w:num>
  <w:num w:numId="68" w16cid:durableId="1691880234">
    <w:abstractNumId w:val="35"/>
  </w:num>
  <w:num w:numId="69" w16cid:durableId="134027271">
    <w:abstractNumId w:val="2"/>
  </w:num>
  <w:num w:numId="70" w16cid:durableId="172915759">
    <w:abstractNumId w:val="88"/>
  </w:num>
  <w:num w:numId="71" w16cid:durableId="2072775787">
    <w:abstractNumId w:val="40"/>
  </w:num>
  <w:num w:numId="72" w16cid:durableId="216204174">
    <w:abstractNumId w:val="52"/>
  </w:num>
  <w:num w:numId="73" w16cid:durableId="165286242">
    <w:abstractNumId w:val="79"/>
  </w:num>
  <w:num w:numId="74" w16cid:durableId="8071295">
    <w:abstractNumId w:val="41"/>
  </w:num>
  <w:num w:numId="75" w16cid:durableId="1193957447">
    <w:abstractNumId w:val="16"/>
  </w:num>
  <w:num w:numId="76" w16cid:durableId="1773435878">
    <w:abstractNumId w:val="57"/>
  </w:num>
  <w:num w:numId="77" w16cid:durableId="2090955185">
    <w:abstractNumId w:val="68"/>
  </w:num>
  <w:num w:numId="78" w16cid:durableId="1455060292">
    <w:abstractNumId w:val="39"/>
  </w:num>
  <w:num w:numId="79" w16cid:durableId="103623659">
    <w:abstractNumId w:val="47"/>
  </w:num>
  <w:num w:numId="80" w16cid:durableId="54134981">
    <w:abstractNumId w:val="89"/>
  </w:num>
  <w:num w:numId="81" w16cid:durableId="760610882">
    <w:abstractNumId w:val="65"/>
  </w:num>
  <w:num w:numId="82" w16cid:durableId="227348631">
    <w:abstractNumId w:val="58"/>
  </w:num>
  <w:num w:numId="83" w16cid:durableId="727921583">
    <w:abstractNumId w:val="24"/>
  </w:num>
  <w:num w:numId="84" w16cid:durableId="1814256093">
    <w:abstractNumId w:val="34"/>
  </w:num>
  <w:num w:numId="85" w16cid:durableId="734009421">
    <w:abstractNumId w:val="53"/>
  </w:num>
  <w:num w:numId="86" w16cid:durableId="1731725947">
    <w:abstractNumId w:val="50"/>
  </w:num>
  <w:num w:numId="87" w16cid:durableId="1101491157">
    <w:abstractNumId w:val="17"/>
  </w:num>
  <w:num w:numId="88" w16cid:durableId="212817186">
    <w:abstractNumId w:val="5"/>
  </w:num>
  <w:num w:numId="89" w16cid:durableId="1110466418">
    <w:abstractNumId w:val="96"/>
  </w:num>
  <w:num w:numId="90" w16cid:durableId="1490100317">
    <w:abstractNumId w:val="82"/>
  </w:num>
  <w:num w:numId="91" w16cid:durableId="1103960001">
    <w:abstractNumId w:val="3"/>
  </w:num>
  <w:num w:numId="92" w16cid:durableId="204954957">
    <w:abstractNumId w:val="92"/>
  </w:num>
  <w:num w:numId="93" w16cid:durableId="719326879">
    <w:abstractNumId w:val="19"/>
  </w:num>
  <w:num w:numId="94" w16cid:durableId="392394526">
    <w:abstractNumId w:val="90"/>
  </w:num>
  <w:num w:numId="95" w16cid:durableId="44109681">
    <w:abstractNumId w:val="62"/>
  </w:num>
  <w:num w:numId="96" w16cid:durableId="616260894">
    <w:abstractNumId w:val="80"/>
  </w:num>
  <w:num w:numId="97" w16cid:durableId="7683413">
    <w:abstractNumId w:val="72"/>
  </w:num>
  <w:num w:numId="98" w16cid:durableId="1506019523">
    <w:abstractNumId w:val="2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9A0"/>
    <w:rsid w:val="00002C72"/>
    <w:rsid w:val="000A6C04"/>
    <w:rsid w:val="000B497A"/>
    <w:rsid w:val="000E3757"/>
    <w:rsid w:val="001353F3"/>
    <w:rsid w:val="00183F35"/>
    <w:rsid w:val="001B4339"/>
    <w:rsid w:val="001E1724"/>
    <w:rsid w:val="001E6BF8"/>
    <w:rsid w:val="001E7211"/>
    <w:rsid w:val="00237C40"/>
    <w:rsid w:val="0024300F"/>
    <w:rsid w:val="0024690F"/>
    <w:rsid w:val="00254CDA"/>
    <w:rsid w:val="002609A3"/>
    <w:rsid w:val="00274A63"/>
    <w:rsid w:val="00291CA0"/>
    <w:rsid w:val="002931C7"/>
    <w:rsid w:val="002C3917"/>
    <w:rsid w:val="002C3BD4"/>
    <w:rsid w:val="002E6474"/>
    <w:rsid w:val="002F75DB"/>
    <w:rsid w:val="00300460"/>
    <w:rsid w:val="00313C84"/>
    <w:rsid w:val="00331BEC"/>
    <w:rsid w:val="00351E09"/>
    <w:rsid w:val="00354394"/>
    <w:rsid w:val="00355F8E"/>
    <w:rsid w:val="0038060C"/>
    <w:rsid w:val="003823B7"/>
    <w:rsid w:val="003B7177"/>
    <w:rsid w:val="00403988"/>
    <w:rsid w:val="00416D2C"/>
    <w:rsid w:val="00421A31"/>
    <w:rsid w:val="00450D04"/>
    <w:rsid w:val="004533EF"/>
    <w:rsid w:val="004A3BE9"/>
    <w:rsid w:val="005034CA"/>
    <w:rsid w:val="00535FDD"/>
    <w:rsid w:val="00584585"/>
    <w:rsid w:val="005A0CE9"/>
    <w:rsid w:val="005A6B66"/>
    <w:rsid w:val="005B1268"/>
    <w:rsid w:val="005B5CEB"/>
    <w:rsid w:val="005B6577"/>
    <w:rsid w:val="005F3247"/>
    <w:rsid w:val="006169FD"/>
    <w:rsid w:val="006456A3"/>
    <w:rsid w:val="006B1F16"/>
    <w:rsid w:val="006C52F0"/>
    <w:rsid w:val="006D1AB7"/>
    <w:rsid w:val="0070345F"/>
    <w:rsid w:val="007217FB"/>
    <w:rsid w:val="007256E6"/>
    <w:rsid w:val="0072655E"/>
    <w:rsid w:val="00740182"/>
    <w:rsid w:val="00747263"/>
    <w:rsid w:val="007758F6"/>
    <w:rsid w:val="0079608A"/>
    <w:rsid w:val="007C3D27"/>
    <w:rsid w:val="007C4B85"/>
    <w:rsid w:val="007C7EF4"/>
    <w:rsid w:val="007E3DC4"/>
    <w:rsid w:val="008034D9"/>
    <w:rsid w:val="0087001D"/>
    <w:rsid w:val="00877283"/>
    <w:rsid w:val="0089045F"/>
    <w:rsid w:val="00895E24"/>
    <w:rsid w:val="008974F0"/>
    <w:rsid w:val="008B543B"/>
    <w:rsid w:val="008F0A6E"/>
    <w:rsid w:val="008F0BFB"/>
    <w:rsid w:val="00925745"/>
    <w:rsid w:val="0092577E"/>
    <w:rsid w:val="00925F60"/>
    <w:rsid w:val="0093090C"/>
    <w:rsid w:val="00940BA8"/>
    <w:rsid w:val="009464B6"/>
    <w:rsid w:val="00970821"/>
    <w:rsid w:val="009A384B"/>
    <w:rsid w:val="009C21BB"/>
    <w:rsid w:val="009C45B3"/>
    <w:rsid w:val="009C583C"/>
    <w:rsid w:val="009D19DD"/>
    <w:rsid w:val="009D2340"/>
    <w:rsid w:val="00A15BAF"/>
    <w:rsid w:val="00A3176B"/>
    <w:rsid w:val="00A32148"/>
    <w:rsid w:val="00A72A1E"/>
    <w:rsid w:val="00A808A4"/>
    <w:rsid w:val="00AB3D96"/>
    <w:rsid w:val="00AD02F0"/>
    <w:rsid w:val="00AF3BAE"/>
    <w:rsid w:val="00B07EC5"/>
    <w:rsid w:val="00B2097D"/>
    <w:rsid w:val="00B354C7"/>
    <w:rsid w:val="00B37A7C"/>
    <w:rsid w:val="00B679FA"/>
    <w:rsid w:val="00BA65FB"/>
    <w:rsid w:val="00BB4EAC"/>
    <w:rsid w:val="00BE6C4B"/>
    <w:rsid w:val="00C823B2"/>
    <w:rsid w:val="00CA776F"/>
    <w:rsid w:val="00CD459A"/>
    <w:rsid w:val="00CD73B6"/>
    <w:rsid w:val="00D27F6A"/>
    <w:rsid w:val="00D30510"/>
    <w:rsid w:val="00D4353B"/>
    <w:rsid w:val="00D8671B"/>
    <w:rsid w:val="00DA3A85"/>
    <w:rsid w:val="00DB369A"/>
    <w:rsid w:val="00DB6799"/>
    <w:rsid w:val="00DE1A5C"/>
    <w:rsid w:val="00E107CE"/>
    <w:rsid w:val="00E25464"/>
    <w:rsid w:val="00E26D8C"/>
    <w:rsid w:val="00E645B1"/>
    <w:rsid w:val="00E87A9C"/>
    <w:rsid w:val="00F1461B"/>
    <w:rsid w:val="00F218F8"/>
    <w:rsid w:val="00F319E5"/>
    <w:rsid w:val="00F40120"/>
    <w:rsid w:val="00F57CEC"/>
    <w:rsid w:val="00F62291"/>
    <w:rsid w:val="00F74146"/>
    <w:rsid w:val="00F9091F"/>
    <w:rsid w:val="00F91859"/>
    <w:rsid w:val="00FF09A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16F94EB"/>
  <w15:docId w15:val="{034EC692-68A0-449D-A219-55BECDB13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iPriority="0"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1"/>
    <w:qFormat/>
    <w:rsid w:val="007E3DC4"/>
    <w:pPr>
      <w:keepNext/>
      <w:spacing w:before="240" w:after="60" w:line="240" w:lineRule="auto"/>
      <w:outlineLvl w:val="0"/>
    </w:pPr>
    <w:rPr>
      <w:rFonts w:ascii="Arial" w:eastAsia="Times New Roman" w:hAnsi="Arial" w:cs="Arial"/>
      <w:b/>
      <w:bCs/>
      <w:kern w:val="32"/>
      <w:sz w:val="32"/>
      <w:szCs w:val="32"/>
      <w:lang w:val="es-ES" w:eastAsia="es-ES"/>
    </w:rPr>
  </w:style>
  <w:style w:type="paragraph" w:styleId="Ttulo2">
    <w:name w:val="heading 2"/>
    <w:basedOn w:val="Normal"/>
    <w:next w:val="Normal"/>
    <w:link w:val="Ttulo2Car"/>
    <w:uiPriority w:val="9"/>
    <w:unhideWhenUsed/>
    <w:qFormat/>
    <w:rsid w:val="0074018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nhideWhenUsed/>
    <w:qFormat/>
    <w:rsid w:val="007401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qFormat/>
    <w:rsid w:val="007C7EF4"/>
    <w:pPr>
      <w:keepNext/>
      <w:widowControl w:val="0"/>
      <w:spacing w:after="0" w:line="240" w:lineRule="auto"/>
      <w:outlineLvl w:val="3"/>
    </w:pPr>
    <w:rPr>
      <w:rFonts w:ascii="Times New Roman" w:eastAsia="Times New Roman" w:hAnsi="Times New Roman" w:cs="Times New Roman"/>
      <w:b/>
      <w:sz w:val="26"/>
      <w:szCs w:val="20"/>
      <w:lang w:val="es-ES" w:eastAsia="es-ES"/>
    </w:rPr>
  </w:style>
  <w:style w:type="paragraph" w:styleId="Ttulo5">
    <w:name w:val="heading 5"/>
    <w:basedOn w:val="Normal"/>
    <w:next w:val="Normal"/>
    <w:link w:val="Ttulo5Car"/>
    <w:qFormat/>
    <w:rsid w:val="007C7EF4"/>
    <w:pPr>
      <w:keepNext/>
      <w:spacing w:after="0" w:line="240" w:lineRule="auto"/>
      <w:jc w:val="center"/>
      <w:outlineLvl w:val="4"/>
    </w:pPr>
    <w:rPr>
      <w:rFonts w:ascii="Times New Roman" w:eastAsia="Times New Roman" w:hAnsi="Times New Roman" w:cs="Times New Roman"/>
      <w:b/>
      <w:sz w:val="16"/>
      <w:szCs w:val="20"/>
      <w:lang w:val="es-ES" w:eastAsia="es-ES"/>
    </w:rPr>
  </w:style>
  <w:style w:type="paragraph" w:styleId="Ttulo6">
    <w:name w:val="heading 6"/>
    <w:basedOn w:val="Normal"/>
    <w:next w:val="Normal"/>
    <w:link w:val="Ttulo6Car"/>
    <w:qFormat/>
    <w:rsid w:val="007C7EF4"/>
    <w:pPr>
      <w:keepNext/>
      <w:spacing w:after="0" w:line="240" w:lineRule="auto"/>
      <w:jc w:val="center"/>
      <w:outlineLvl w:val="5"/>
    </w:pPr>
    <w:rPr>
      <w:rFonts w:ascii="Arial" w:eastAsia="Times New Roman" w:hAnsi="Arial" w:cs="Times New Roman"/>
      <w:b/>
      <w:sz w:val="20"/>
      <w:szCs w:val="20"/>
      <w:lang w:val="es-ES" w:eastAsia="es-ES"/>
    </w:rPr>
  </w:style>
  <w:style w:type="paragraph" w:styleId="Ttulo7">
    <w:name w:val="heading 7"/>
    <w:basedOn w:val="Normal"/>
    <w:next w:val="Normal"/>
    <w:link w:val="Ttulo7Car"/>
    <w:qFormat/>
    <w:rsid w:val="007C7EF4"/>
    <w:pPr>
      <w:keepNext/>
      <w:widowControl w:val="0"/>
      <w:spacing w:after="0" w:line="240" w:lineRule="auto"/>
      <w:jc w:val="both"/>
      <w:outlineLvl w:val="6"/>
    </w:pPr>
    <w:rPr>
      <w:rFonts w:ascii="Times New Roman" w:eastAsia="Times New Roman" w:hAnsi="Times New Roman" w:cs="Times New Roman"/>
      <w:b/>
      <w:sz w:val="24"/>
      <w:szCs w:val="20"/>
      <w:lang w:val="es-ES" w:eastAsia="es-ES"/>
    </w:rPr>
  </w:style>
  <w:style w:type="paragraph" w:styleId="Ttulo8">
    <w:name w:val="heading 8"/>
    <w:basedOn w:val="Normal"/>
    <w:next w:val="Normal"/>
    <w:link w:val="Ttulo8Car"/>
    <w:uiPriority w:val="9"/>
    <w:qFormat/>
    <w:rsid w:val="007C7EF4"/>
    <w:pPr>
      <w:keepNext/>
      <w:widowControl w:val="0"/>
      <w:spacing w:after="0" w:line="240" w:lineRule="auto"/>
      <w:jc w:val="both"/>
      <w:outlineLvl w:val="7"/>
    </w:pPr>
    <w:rPr>
      <w:rFonts w:ascii="Times New Roman" w:eastAsia="Times New Roman" w:hAnsi="Times New Roman" w:cs="Times New Roman"/>
      <w:sz w:val="24"/>
      <w:szCs w:val="20"/>
      <w:lang w:val="es-ES" w:eastAsia="es-ES"/>
    </w:rPr>
  </w:style>
  <w:style w:type="paragraph" w:styleId="Ttulo9">
    <w:name w:val="heading 9"/>
    <w:basedOn w:val="Normal"/>
    <w:next w:val="Normal"/>
    <w:link w:val="Ttulo9Car"/>
    <w:qFormat/>
    <w:rsid w:val="007C7EF4"/>
    <w:pPr>
      <w:keepNext/>
      <w:widowControl w:val="0"/>
      <w:spacing w:after="0" w:line="240" w:lineRule="auto"/>
      <w:ind w:left="2835" w:hanging="2835"/>
      <w:jc w:val="both"/>
      <w:outlineLvl w:val="8"/>
    </w:pPr>
    <w:rPr>
      <w:rFonts w:ascii="Times New Roman" w:eastAsia="Times New Roman" w:hAnsi="Times New Roman" w:cs="Times New Roman"/>
      <w:b/>
      <w:sz w:val="16"/>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FF09A0"/>
    <w:pPr>
      <w:tabs>
        <w:tab w:val="center" w:pos="4419"/>
        <w:tab w:val="right" w:pos="8838"/>
      </w:tabs>
      <w:spacing w:after="0" w:line="240" w:lineRule="auto"/>
    </w:pPr>
  </w:style>
  <w:style w:type="character" w:customStyle="1" w:styleId="EncabezadoCar">
    <w:name w:val="Encabezado Car"/>
    <w:basedOn w:val="Fuentedeprrafopredeter"/>
    <w:link w:val="Encabezado"/>
    <w:rsid w:val="00FF09A0"/>
  </w:style>
  <w:style w:type="paragraph" w:styleId="Piedepgina">
    <w:name w:val="footer"/>
    <w:aliases w:val="pie de página"/>
    <w:basedOn w:val="Normal"/>
    <w:link w:val="PiedepginaCar"/>
    <w:unhideWhenUsed/>
    <w:rsid w:val="00FF09A0"/>
    <w:pPr>
      <w:tabs>
        <w:tab w:val="center" w:pos="4419"/>
        <w:tab w:val="right" w:pos="8838"/>
      </w:tabs>
      <w:spacing w:after="0" w:line="240" w:lineRule="auto"/>
    </w:pPr>
  </w:style>
  <w:style w:type="character" w:customStyle="1" w:styleId="PiedepginaCar">
    <w:name w:val="Pie de página Car"/>
    <w:aliases w:val="pie de página Car"/>
    <w:basedOn w:val="Fuentedeprrafopredeter"/>
    <w:link w:val="Piedepgina"/>
    <w:rsid w:val="00FF09A0"/>
  </w:style>
  <w:style w:type="paragraph" w:styleId="Textodeglobo">
    <w:name w:val="Balloon Text"/>
    <w:basedOn w:val="Normal"/>
    <w:link w:val="TextodegloboCar"/>
    <w:uiPriority w:val="99"/>
    <w:semiHidden/>
    <w:unhideWhenUsed/>
    <w:rsid w:val="00FF09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F09A0"/>
    <w:rPr>
      <w:rFonts w:ascii="Tahoma" w:hAnsi="Tahoma" w:cs="Tahoma"/>
      <w:sz w:val="16"/>
      <w:szCs w:val="16"/>
    </w:rPr>
  </w:style>
  <w:style w:type="paragraph" w:customStyle="1" w:styleId="Default">
    <w:name w:val="Default"/>
    <w:link w:val="DefaultCar"/>
    <w:rsid w:val="00FF09A0"/>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semiHidden/>
    <w:unhideWhenUsed/>
    <w:rsid w:val="00B2097D"/>
    <w:rPr>
      <w:sz w:val="16"/>
      <w:szCs w:val="16"/>
    </w:rPr>
  </w:style>
  <w:style w:type="paragraph" w:styleId="Textocomentario">
    <w:name w:val="annotation text"/>
    <w:basedOn w:val="Normal"/>
    <w:link w:val="TextocomentarioCar"/>
    <w:unhideWhenUsed/>
    <w:rsid w:val="00B2097D"/>
    <w:pPr>
      <w:spacing w:line="240" w:lineRule="auto"/>
    </w:pPr>
    <w:rPr>
      <w:sz w:val="20"/>
      <w:szCs w:val="20"/>
    </w:rPr>
  </w:style>
  <w:style w:type="character" w:customStyle="1" w:styleId="TextocomentarioCar">
    <w:name w:val="Texto comentario Car"/>
    <w:basedOn w:val="Fuentedeprrafopredeter"/>
    <w:link w:val="Textocomentario"/>
    <w:rsid w:val="00B2097D"/>
    <w:rPr>
      <w:sz w:val="20"/>
      <w:szCs w:val="20"/>
    </w:rPr>
  </w:style>
  <w:style w:type="paragraph" w:styleId="Asuntodelcomentario">
    <w:name w:val="annotation subject"/>
    <w:basedOn w:val="Textocomentario"/>
    <w:next w:val="Textocomentario"/>
    <w:link w:val="AsuntodelcomentarioCar"/>
    <w:semiHidden/>
    <w:unhideWhenUsed/>
    <w:rsid w:val="00B2097D"/>
    <w:rPr>
      <w:b/>
      <w:bCs/>
    </w:rPr>
  </w:style>
  <w:style w:type="character" w:customStyle="1" w:styleId="AsuntodelcomentarioCar">
    <w:name w:val="Asunto del comentario Car"/>
    <w:basedOn w:val="TextocomentarioCar"/>
    <w:link w:val="Asuntodelcomentario"/>
    <w:semiHidden/>
    <w:rsid w:val="00B2097D"/>
    <w:rPr>
      <w:b/>
      <w:bCs/>
      <w:sz w:val="20"/>
      <w:szCs w:val="20"/>
    </w:rPr>
  </w:style>
  <w:style w:type="paragraph" w:styleId="NormalWeb">
    <w:name w:val="Normal (Web)"/>
    <w:basedOn w:val="Normal"/>
    <w:uiPriority w:val="99"/>
    <w:unhideWhenUsed/>
    <w:rsid w:val="000A6C04"/>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Prrafodelista">
    <w:name w:val="List Paragraph"/>
    <w:aliases w:val="LISTA,Párrafo de lista11,EY EPM - Lista"/>
    <w:basedOn w:val="Normal"/>
    <w:link w:val="PrrafodelistaCar"/>
    <w:uiPriority w:val="1"/>
    <w:qFormat/>
    <w:rsid w:val="009D2340"/>
    <w:pPr>
      <w:ind w:left="720"/>
      <w:contextualSpacing/>
    </w:pPr>
  </w:style>
  <w:style w:type="character" w:customStyle="1" w:styleId="labels">
    <w:name w:val="labels"/>
    <w:basedOn w:val="Fuentedeprrafopredeter"/>
    <w:rsid w:val="00B37A7C"/>
  </w:style>
  <w:style w:type="character" w:styleId="Hipervnculo">
    <w:name w:val="Hyperlink"/>
    <w:basedOn w:val="Fuentedeprrafopredeter"/>
    <w:uiPriority w:val="99"/>
    <w:unhideWhenUsed/>
    <w:rsid w:val="00237C40"/>
    <w:rPr>
      <w:color w:val="0000FF" w:themeColor="hyperlink"/>
      <w:u w:val="single"/>
    </w:rPr>
  </w:style>
  <w:style w:type="paragraph" w:styleId="Textonotapie">
    <w:name w:val="footnote text"/>
    <w:aliases w:val="ft,ft Car Car Car,ft Car,Texto nota pie2,ft1,ft Car Car Car1,Texto nota pie Car2,ft Car Car2,Footnote Text Char Car,Footnote Text Char Char,bibliografía"/>
    <w:basedOn w:val="Normal"/>
    <w:link w:val="TextonotapieCar"/>
    <w:uiPriority w:val="99"/>
    <w:unhideWhenUsed/>
    <w:rsid w:val="000B497A"/>
    <w:pPr>
      <w:spacing w:after="0" w:line="240" w:lineRule="auto"/>
    </w:pPr>
    <w:rPr>
      <w:rFonts w:eastAsiaTheme="minorEastAsia"/>
      <w:sz w:val="20"/>
      <w:szCs w:val="20"/>
      <w:lang w:eastAsia="es-CO"/>
    </w:rPr>
  </w:style>
  <w:style w:type="character" w:customStyle="1" w:styleId="TextonotapieCar">
    <w:name w:val="Texto nota pie Car"/>
    <w:aliases w:val="ft Car1,ft Car Car Car Car,ft Car Car,Texto nota pie2 Car,ft1 Car,ft Car Car Car1 Car,Texto nota pie Car2 Car,ft Car Car2 Car,Footnote Text Char Car Car,Footnote Text Char Char Car,bibliografía Car"/>
    <w:basedOn w:val="Fuentedeprrafopredeter"/>
    <w:link w:val="Textonotapie"/>
    <w:uiPriority w:val="99"/>
    <w:rsid w:val="000B497A"/>
    <w:rPr>
      <w:rFonts w:eastAsiaTheme="minorEastAsia"/>
      <w:sz w:val="20"/>
      <w:szCs w:val="20"/>
      <w:lang w:eastAsia="es-CO"/>
    </w:rPr>
  </w:style>
  <w:style w:type="character" w:styleId="Refdenotaalpie">
    <w:name w:val="footnote reference"/>
    <w:aliases w:val="Ref,de nota al pie,Texto de nota al pie,Ref. de nota al pie2"/>
    <w:basedOn w:val="Fuentedeprrafopredeter"/>
    <w:uiPriority w:val="99"/>
    <w:unhideWhenUsed/>
    <w:rsid w:val="000B497A"/>
    <w:rPr>
      <w:vertAlign w:val="superscript"/>
    </w:rPr>
  </w:style>
  <w:style w:type="table" w:styleId="Tablaconcuadrcula">
    <w:name w:val="Table Grid"/>
    <w:basedOn w:val="Tablanormal"/>
    <w:uiPriority w:val="59"/>
    <w:rsid w:val="00D305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nhideWhenUsed/>
    <w:rsid w:val="00925F60"/>
  </w:style>
  <w:style w:type="character" w:customStyle="1" w:styleId="Ttulo1Car">
    <w:name w:val="Título 1 Car"/>
    <w:basedOn w:val="Fuentedeprrafopredeter"/>
    <w:link w:val="Ttulo1"/>
    <w:uiPriority w:val="1"/>
    <w:rsid w:val="007E3DC4"/>
    <w:rPr>
      <w:rFonts w:ascii="Arial" w:eastAsia="Times New Roman" w:hAnsi="Arial" w:cs="Arial"/>
      <w:b/>
      <w:bCs/>
      <w:kern w:val="32"/>
      <w:sz w:val="32"/>
      <w:szCs w:val="32"/>
      <w:lang w:val="es-ES" w:eastAsia="es-ES"/>
    </w:rPr>
  </w:style>
  <w:style w:type="paragraph" w:styleId="TDC1">
    <w:name w:val="toc 1"/>
    <w:basedOn w:val="Normal"/>
    <w:next w:val="Normal"/>
    <w:autoRedefine/>
    <w:uiPriority w:val="39"/>
    <w:rsid w:val="007E3DC4"/>
    <w:pPr>
      <w:spacing w:after="0" w:line="240" w:lineRule="auto"/>
    </w:pPr>
    <w:rPr>
      <w:rFonts w:ascii="Times New Roman" w:eastAsia="Times New Roman" w:hAnsi="Times New Roman" w:cs="Times New Roman"/>
      <w:sz w:val="24"/>
      <w:szCs w:val="24"/>
      <w:lang w:val="es-ES" w:eastAsia="es-ES"/>
    </w:rPr>
  </w:style>
  <w:style w:type="paragraph" w:styleId="Textoindependiente2">
    <w:name w:val="Body Text 2"/>
    <w:basedOn w:val="Normal"/>
    <w:link w:val="Textoindependiente2Car"/>
    <w:rsid w:val="007E3DC4"/>
    <w:pPr>
      <w:spacing w:after="120" w:line="480" w:lineRule="auto"/>
    </w:pPr>
    <w:rPr>
      <w:rFonts w:ascii="Times New Roman" w:eastAsia="MS Mincho"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7E3DC4"/>
    <w:rPr>
      <w:rFonts w:ascii="Times New Roman" w:eastAsia="MS Mincho" w:hAnsi="Times New Roman" w:cs="Times New Roman"/>
      <w:sz w:val="24"/>
      <w:szCs w:val="24"/>
      <w:lang w:val="es-ES" w:eastAsia="es-ES"/>
    </w:rPr>
  </w:style>
  <w:style w:type="character" w:customStyle="1" w:styleId="Ttulo2Car">
    <w:name w:val="Título 2 Car"/>
    <w:basedOn w:val="Fuentedeprrafopredeter"/>
    <w:link w:val="Ttulo2"/>
    <w:uiPriority w:val="9"/>
    <w:rsid w:val="00740182"/>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rsid w:val="00740182"/>
    <w:rPr>
      <w:rFonts w:asciiTheme="majorHAnsi" w:eastAsiaTheme="majorEastAsia" w:hAnsiTheme="majorHAnsi" w:cstheme="majorBidi"/>
      <w:color w:val="243F60" w:themeColor="accent1" w:themeShade="7F"/>
      <w:sz w:val="24"/>
      <w:szCs w:val="24"/>
    </w:rPr>
  </w:style>
  <w:style w:type="paragraph" w:styleId="TDC2">
    <w:name w:val="toc 2"/>
    <w:basedOn w:val="Normal"/>
    <w:next w:val="Normal"/>
    <w:autoRedefine/>
    <w:uiPriority w:val="39"/>
    <w:unhideWhenUsed/>
    <w:rsid w:val="00740182"/>
    <w:pPr>
      <w:spacing w:after="100"/>
      <w:ind w:left="220"/>
    </w:pPr>
  </w:style>
  <w:style w:type="paragraph" w:styleId="TDC3">
    <w:name w:val="toc 3"/>
    <w:basedOn w:val="Normal"/>
    <w:next w:val="Normal"/>
    <w:autoRedefine/>
    <w:uiPriority w:val="39"/>
    <w:unhideWhenUsed/>
    <w:rsid w:val="00740182"/>
    <w:pPr>
      <w:spacing w:after="100"/>
      <w:ind w:left="440"/>
    </w:pPr>
  </w:style>
  <w:style w:type="character" w:customStyle="1" w:styleId="Ttulo4Car">
    <w:name w:val="Título 4 Car"/>
    <w:basedOn w:val="Fuentedeprrafopredeter"/>
    <w:link w:val="Ttulo4"/>
    <w:rsid w:val="007C7EF4"/>
    <w:rPr>
      <w:rFonts w:ascii="Times New Roman" w:eastAsia="Times New Roman" w:hAnsi="Times New Roman" w:cs="Times New Roman"/>
      <w:b/>
      <w:sz w:val="26"/>
      <w:szCs w:val="20"/>
      <w:lang w:val="es-ES" w:eastAsia="es-ES"/>
    </w:rPr>
  </w:style>
  <w:style w:type="character" w:customStyle="1" w:styleId="Ttulo5Car">
    <w:name w:val="Título 5 Car"/>
    <w:basedOn w:val="Fuentedeprrafopredeter"/>
    <w:link w:val="Ttulo5"/>
    <w:rsid w:val="007C7EF4"/>
    <w:rPr>
      <w:rFonts w:ascii="Times New Roman" w:eastAsia="Times New Roman" w:hAnsi="Times New Roman" w:cs="Times New Roman"/>
      <w:b/>
      <w:sz w:val="16"/>
      <w:szCs w:val="20"/>
      <w:lang w:val="es-ES" w:eastAsia="es-ES"/>
    </w:rPr>
  </w:style>
  <w:style w:type="character" w:customStyle="1" w:styleId="Ttulo6Car">
    <w:name w:val="Título 6 Car"/>
    <w:basedOn w:val="Fuentedeprrafopredeter"/>
    <w:link w:val="Ttulo6"/>
    <w:rsid w:val="007C7EF4"/>
    <w:rPr>
      <w:rFonts w:ascii="Arial" w:eastAsia="Times New Roman" w:hAnsi="Arial" w:cs="Times New Roman"/>
      <w:b/>
      <w:sz w:val="20"/>
      <w:szCs w:val="20"/>
      <w:lang w:val="es-ES" w:eastAsia="es-ES"/>
    </w:rPr>
  </w:style>
  <w:style w:type="character" w:customStyle="1" w:styleId="Ttulo7Car">
    <w:name w:val="Título 7 Car"/>
    <w:basedOn w:val="Fuentedeprrafopredeter"/>
    <w:link w:val="Ttulo7"/>
    <w:rsid w:val="007C7EF4"/>
    <w:rPr>
      <w:rFonts w:ascii="Times New Roman" w:eastAsia="Times New Roman" w:hAnsi="Times New Roman" w:cs="Times New Roman"/>
      <w:b/>
      <w:sz w:val="24"/>
      <w:szCs w:val="20"/>
      <w:lang w:val="es-ES" w:eastAsia="es-ES"/>
    </w:rPr>
  </w:style>
  <w:style w:type="character" w:customStyle="1" w:styleId="Ttulo8Car">
    <w:name w:val="Título 8 Car"/>
    <w:basedOn w:val="Fuentedeprrafopredeter"/>
    <w:link w:val="Ttulo8"/>
    <w:uiPriority w:val="9"/>
    <w:rsid w:val="007C7EF4"/>
    <w:rPr>
      <w:rFonts w:ascii="Times New Roman" w:eastAsia="Times New Roman" w:hAnsi="Times New Roman" w:cs="Times New Roman"/>
      <w:sz w:val="24"/>
      <w:szCs w:val="20"/>
      <w:lang w:val="es-ES" w:eastAsia="es-ES"/>
    </w:rPr>
  </w:style>
  <w:style w:type="character" w:customStyle="1" w:styleId="Ttulo9Car">
    <w:name w:val="Título 9 Car"/>
    <w:basedOn w:val="Fuentedeprrafopredeter"/>
    <w:link w:val="Ttulo9"/>
    <w:rsid w:val="007C7EF4"/>
    <w:rPr>
      <w:rFonts w:ascii="Times New Roman" w:eastAsia="Times New Roman" w:hAnsi="Times New Roman" w:cs="Times New Roman"/>
      <w:b/>
      <w:sz w:val="16"/>
      <w:szCs w:val="20"/>
      <w:lang w:val="es-ES" w:eastAsia="es-ES"/>
    </w:rPr>
  </w:style>
  <w:style w:type="paragraph" w:styleId="Textoindependiente3">
    <w:name w:val="Body Text 3"/>
    <w:basedOn w:val="Normal"/>
    <w:link w:val="Textoindependiente3Car"/>
    <w:rsid w:val="007C7EF4"/>
    <w:pPr>
      <w:spacing w:after="0" w:line="240" w:lineRule="auto"/>
      <w:jc w:val="both"/>
    </w:pPr>
    <w:rPr>
      <w:rFonts w:ascii="Times New Roman" w:eastAsia="Times New Roman" w:hAnsi="Times New Roman" w:cs="Times New Roman"/>
      <w:sz w:val="20"/>
      <w:szCs w:val="20"/>
      <w:lang w:val="es-ES" w:eastAsia="es-ES"/>
    </w:rPr>
  </w:style>
  <w:style w:type="character" w:customStyle="1" w:styleId="Textoindependiente3Car">
    <w:name w:val="Texto independiente 3 Car"/>
    <w:basedOn w:val="Fuentedeprrafopredeter"/>
    <w:link w:val="Textoindependiente3"/>
    <w:rsid w:val="007C7EF4"/>
    <w:rPr>
      <w:rFonts w:ascii="Times New Roman" w:eastAsia="Times New Roman" w:hAnsi="Times New Roman" w:cs="Times New Roman"/>
      <w:sz w:val="20"/>
      <w:szCs w:val="20"/>
      <w:lang w:val="es-ES" w:eastAsia="es-ES"/>
    </w:rPr>
  </w:style>
  <w:style w:type="paragraph" w:customStyle="1" w:styleId="Sangra2detindependiente1">
    <w:name w:val="Sangría 2 de t. independiente1"/>
    <w:basedOn w:val="Normal"/>
    <w:rsid w:val="007C7EF4"/>
    <w:pPr>
      <w:widowControl w:val="0"/>
      <w:spacing w:after="0" w:line="240" w:lineRule="auto"/>
      <w:ind w:left="2124" w:hanging="2124"/>
      <w:jc w:val="both"/>
    </w:pPr>
    <w:rPr>
      <w:rFonts w:ascii="Times New Roman" w:eastAsia="Times New Roman" w:hAnsi="Times New Roman" w:cs="Times New Roman"/>
      <w:sz w:val="24"/>
      <w:szCs w:val="20"/>
      <w:lang w:val="es-ES" w:eastAsia="es-ES"/>
    </w:rPr>
  </w:style>
  <w:style w:type="paragraph" w:styleId="Textoindependiente">
    <w:name w:val="Body Text"/>
    <w:basedOn w:val="Normal"/>
    <w:link w:val="TextoindependienteCar"/>
    <w:rsid w:val="007C7EF4"/>
    <w:pPr>
      <w:widowControl w:val="0"/>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rsid w:val="007C7EF4"/>
    <w:rPr>
      <w:rFonts w:ascii="Times New Roman" w:eastAsia="Times New Roman" w:hAnsi="Times New Roman" w:cs="Times New Roman"/>
      <w:sz w:val="24"/>
      <w:szCs w:val="20"/>
      <w:lang w:val="es-ES" w:eastAsia="es-ES"/>
    </w:rPr>
  </w:style>
  <w:style w:type="paragraph" w:customStyle="1" w:styleId="Sangra3detindependiente1">
    <w:name w:val="Sangría 3 de t. independiente1"/>
    <w:basedOn w:val="Normal"/>
    <w:rsid w:val="007C7EF4"/>
    <w:pPr>
      <w:widowControl w:val="0"/>
      <w:spacing w:after="0" w:line="240" w:lineRule="auto"/>
      <w:ind w:left="2127" w:hanging="2127"/>
      <w:jc w:val="both"/>
    </w:pPr>
    <w:rPr>
      <w:rFonts w:ascii="Times New Roman" w:eastAsia="Times New Roman" w:hAnsi="Times New Roman" w:cs="Times New Roman"/>
      <w:sz w:val="24"/>
      <w:szCs w:val="20"/>
      <w:lang w:val="es-ES" w:eastAsia="es-ES"/>
    </w:rPr>
  </w:style>
  <w:style w:type="paragraph" w:styleId="Sangra3detindependiente">
    <w:name w:val="Body Text Indent 3"/>
    <w:basedOn w:val="Normal"/>
    <w:link w:val="Sangra3detindependienteCar"/>
    <w:rsid w:val="007C7EF4"/>
    <w:pPr>
      <w:widowControl w:val="0"/>
      <w:spacing w:after="0" w:line="240" w:lineRule="auto"/>
      <w:ind w:left="-284"/>
    </w:pPr>
    <w:rPr>
      <w:rFonts w:ascii="Arial" w:eastAsia="Times New Roman" w:hAnsi="Arial" w:cs="Times New Roman"/>
      <w:szCs w:val="20"/>
      <w:lang w:val="es-ES" w:eastAsia="es-ES"/>
    </w:rPr>
  </w:style>
  <w:style w:type="character" w:customStyle="1" w:styleId="Sangra3detindependienteCar">
    <w:name w:val="Sangría 3 de t. independiente Car"/>
    <w:basedOn w:val="Fuentedeprrafopredeter"/>
    <w:link w:val="Sangra3detindependiente"/>
    <w:rsid w:val="007C7EF4"/>
    <w:rPr>
      <w:rFonts w:ascii="Arial" w:eastAsia="Times New Roman" w:hAnsi="Arial" w:cs="Times New Roman"/>
      <w:szCs w:val="20"/>
      <w:lang w:val="es-ES" w:eastAsia="es-ES"/>
    </w:rPr>
  </w:style>
  <w:style w:type="paragraph" w:customStyle="1" w:styleId="Textoindependiente21">
    <w:name w:val="Texto independiente 21"/>
    <w:basedOn w:val="Normal"/>
    <w:rsid w:val="007C7EF4"/>
    <w:pPr>
      <w:widowControl w:val="0"/>
      <w:spacing w:after="0" w:line="240" w:lineRule="auto"/>
      <w:jc w:val="both"/>
    </w:pPr>
    <w:rPr>
      <w:rFonts w:ascii="Times New Roman" w:eastAsia="Times New Roman" w:hAnsi="Times New Roman" w:cs="Times New Roman"/>
      <w:sz w:val="26"/>
      <w:szCs w:val="20"/>
      <w:lang w:val="es-ES" w:eastAsia="es-ES"/>
    </w:rPr>
  </w:style>
  <w:style w:type="paragraph" w:customStyle="1" w:styleId="Textoindependiente31">
    <w:name w:val="Texto independiente 31"/>
    <w:basedOn w:val="Normal"/>
    <w:rsid w:val="007C7EF4"/>
    <w:pPr>
      <w:widowControl w:val="0"/>
      <w:spacing w:after="0" w:line="240" w:lineRule="auto"/>
    </w:pPr>
    <w:rPr>
      <w:rFonts w:ascii="Times New Roman" w:eastAsia="Times New Roman" w:hAnsi="Times New Roman" w:cs="Times New Roman"/>
      <w:sz w:val="24"/>
      <w:szCs w:val="20"/>
      <w:lang w:val="es-ES" w:eastAsia="es-ES"/>
    </w:rPr>
  </w:style>
  <w:style w:type="paragraph" w:customStyle="1" w:styleId="bodytext">
    <w:name w:val="bodytext"/>
    <w:basedOn w:val="Normal"/>
    <w:rsid w:val="007C7EF4"/>
    <w:pPr>
      <w:spacing w:before="100" w:beforeAutospacing="1" w:after="100" w:afterAutospacing="1" w:line="240" w:lineRule="auto"/>
      <w:ind w:left="144"/>
    </w:pPr>
    <w:rPr>
      <w:rFonts w:ascii="Arial" w:eastAsia="Times New Roman" w:hAnsi="Arial" w:cs="Arial"/>
      <w:color w:val="000000"/>
      <w:sz w:val="24"/>
      <w:szCs w:val="24"/>
      <w:lang w:val="es-ES" w:eastAsia="es-ES"/>
    </w:rPr>
  </w:style>
  <w:style w:type="paragraph" w:customStyle="1" w:styleId="pagetitle">
    <w:name w:val="pagetitle"/>
    <w:basedOn w:val="Normal"/>
    <w:rsid w:val="007C7EF4"/>
    <w:pPr>
      <w:spacing w:before="100" w:beforeAutospacing="1" w:after="100" w:afterAutospacing="1" w:line="240" w:lineRule="auto"/>
      <w:jc w:val="center"/>
    </w:pPr>
    <w:rPr>
      <w:rFonts w:ascii="Arial" w:eastAsia="Times New Roman" w:hAnsi="Arial" w:cs="Arial"/>
      <w:color w:val="336699"/>
      <w:sz w:val="36"/>
      <w:szCs w:val="36"/>
      <w:lang w:val="es-ES" w:eastAsia="es-ES"/>
    </w:rPr>
  </w:style>
  <w:style w:type="paragraph" w:customStyle="1" w:styleId="note1">
    <w:name w:val="note1"/>
    <w:basedOn w:val="Normal"/>
    <w:rsid w:val="007C7EF4"/>
    <w:pPr>
      <w:spacing w:before="100" w:beforeAutospacing="1" w:after="100" w:afterAutospacing="1" w:line="240" w:lineRule="auto"/>
      <w:ind w:left="864"/>
    </w:pPr>
    <w:rPr>
      <w:rFonts w:ascii="Arial" w:eastAsia="Times New Roman" w:hAnsi="Arial" w:cs="Arial"/>
      <w:color w:val="000000"/>
      <w:sz w:val="24"/>
      <w:szCs w:val="24"/>
      <w:lang w:val="es-ES" w:eastAsia="es-ES"/>
    </w:rPr>
  </w:style>
  <w:style w:type="paragraph" w:customStyle="1" w:styleId="task10">
    <w:name w:val="task10"/>
    <w:basedOn w:val="Normal"/>
    <w:rsid w:val="007C7EF4"/>
    <w:pPr>
      <w:spacing w:before="100" w:beforeAutospacing="1" w:after="100" w:afterAutospacing="1" w:line="240" w:lineRule="auto"/>
      <w:ind w:left="144"/>
    </w:pPr>
    <w:rPr>
      <w:rFonts w:ascii="Arial" w:eastAsia="Times New Roman" w:hAnsi="Arial" w:cs="Arial"/>
      <w:color w:val="000000"/>
      <w:sz w:val="24"/>
      <w:szCs w:val="24"/>
      <w:lang w:val="es-ES" w:eastAsia="es-ES"/>
    </w:rPr>
  </w:style>
  <w:style w:type="paragraph" w:customStyle="1" w:styleId="Normal1">
    <w:name w:val="Normal1"/>
    <w:basedOn w:val="Normal"/>
    <w:rsid w:val="007C7EF4"/>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Textoennegrita">
    <w:name w:val="Strong"/>
    <w:uiPriority w:val="22"/>
    <w:qFormat/>
    <w:rsid w:val="007C7EF4"/>
    <w:rPr>
      <w:b/>
      <w:bCs/>
    </w:rPr>
  </w:style>
  <w:style w:type="paragraph" w:customStyle="1" w:styleId="task1">
    <w:name w:val="task1"/>
    <w:basedOn w:val="Normal"/>
    <w:rsid w:val="007C7EF4"/>
    <w:pPr>
      <w:spacing w:before="100" w:beforeAutospacing="1" w:after="100" w:afterAutospacing="1" w:line="240" w:lineRule="auto"/>
      <w:ind w:left="144"/>
    </w:pPr>
    <w:rPr>
      <w:rFonts w:ascii="Arial" w:eastAsia="Times New Roman" w:hAnsi="Arial" w:cs="Arial"/>
      <w:color w:val="000000"/>
      <w:sz w:val="24"/>
      <w:szCs w:val="24"/>
      <w:lang w:val="es-ES" w:eastAsia="es-ES"/>
    </w:rPr>
  </w:style>
  <w:style w:type="paragraph" w:styleId="TtuloTDC">
    <w:name w:val="TOC Heading"/>
    <w:basedOn w:val="Ttulo1"/>
    <w:next w:val="Normal"/>
    <w:uiPriority w:val="39"/>
    <w:unhideWhenUsed/>
    <w:qFormat/>
    <w:rsid w:val="007C7EF4"/>
    <w:pPr>
      <w:keepLines/>
      <w:spacing w:after="0" w:line="259" w:lineRule="auto"/>
      <w:outlineLvl w:val="9"/>
    </w:pPr>
    <w:rPr>
      <w:rFonts w:ascii="Calibri Light" w:hAnsi="Calibri Light" w:cs="Times New Roman"/>
      <w:b w:val="0"/>
      <w:bCs w:val="0"/>
      <w:color w:val="2E74B5"/>
      <w:kern w:val="0"/>
      <w:lang w:val="en-US" w:eastAsia="en-US"/>
    </w:rPr>
  </w:style>
  <w:style w:type="character" w:styleId="nfasis">
    <w:name w:val="Emphasis"/>
    <w:qFormat/>
    <w:rsid w:val="007C7EF4"/>
    <w:rPr>
      <w:i/>
      <w:iCs/>
    </w:rPr>
  </w:style>
  <w:style w:type="paragraph" w:styleId="Sinespaciado">
    <w:name w:val="No Spacing"/>
    <w:link w:val="SinespaciadoCar"/>
    <w:uiPriority w:val="1"/>
    <w:qFormat/>
    <w:rsid w:val="007C7EF4"/>
    <w:pPr>
      <w:spacing w:after="0" w:line="240" w:lineRule="auto"/>
    </w:pPr>
    <w:rPr>
      <w:rFonts w:ascii="Times New Roman" w:eastAsia="Times New Roman" w:hAnsi="Times New Roman" w:cs="Times New Roman"/>
      <w:sz w:val="20"/>
      <w:szCs w:val="20"/>
      <w:lang w:val="es-ES" w:eastAsia="es-ES"/>
    </w:rPr>
  </w:style>
  <w:style w:type="paragraph" w:styleId="Subttulo">
    <w:name w:val="Subtitle"/>
    <w:basedOn w:val="Normal"/>
    <w:next w:val="Normal"/>
    <w:link w:val="SubttuloCar"/>
    <w:qFormat/>
    <w:rsid w:val="007C7EF4"/>
    <w:pPr>
      <w:spacing w:after="60" w:line="240" w:lineRule="auto"/>
      <w:jc w:val="center"/>
      <w:outlineLvl w:val="1"/>
    </w:pPr>
    <w:rPr>
      <w:rFonts w:ascii="Calibri Light" w:eastAsia="Times New Roman" w:hAnsi="Calibri Light" w:cs="Times New Roman"/>
      <w:sz w:val="24"/>
      <w:szCs w:val="24"/>
      <w:lang w:val="es-ES" w:eastAsia="es-ES"/>
    </w:rPr>
  </w:style>
  <w:style w:type="character" w:customStyle="1" w:styleId="SubttuloCar">
    <w:name w:val="Subtítulo Car"/>
    <w:basedOn w:val="Fuentedeprrafopredeter"/>
    <w:link w:val="Subttulo"/>
    <w:rsid w:val="007C7EF4"/>
    <w:rPr>
      <w:rFonts w:ascii="Calibri Light" w:eastAsia="Times New Roman" w:hAnsi="Calibri Light" w:cs="Times New Roman"/>
      <w:sz w:val="24"/>
      <w:szCs w:val="24"/>
      <w:lang w:val="es-ES" w:eastAsia="es-ES"/>
    </w:rPr>
  </w:style>
  <w:style w:type="character" w:customStyle="1" w:styleId="PrrafodelistaCar">
    <w:name w:val="Párrafo de lista Car"/>
    <w:aliases w:val="LISTA Car,Párrafo de lista11 Car,EY EPM - Lista Car"/>
    <w:link w:val="Prrafodelista"/>
    <w:uiPriority w:val="1"/>
    <w:locked/>
    <w:rsid w:val="007C7EF4"/>
  </w:style>
  <w:style w:type="character" w:customStyle="1" w:styleId="SinespaciadoCar">
    <w:name w:val="Sin espaciado Car"/>
    <w:link w:val="Sinespaciado"/>
    <w:uiPriority w:val="1"/>
    <w:rsid w:val="007C7EF4"/>
    <w:rPr>
      <w:rFonts w:ascii="Times New Roman" w:eastAsia="Times New Roman" w:hAnsi="Times New Roman" w:cs="Times New Roman"/>
      <w:sz w:val="20"/>
      <w:szCs w:val="20"/>
      <w:lang w:val="es-ES" w:eastAsia="es-ES"/>
    </w:rPr>
  </w:style>
  <w:style w:type="character" w:customStyle="1" w:styleId="DefaultCar">
    <w:name w:val="Default Car"/>
    <w:link w:val="Default"/>
    <w:rsid w:val="007C7EF4"/>
    <w:rPr>
      <w:rFonts w:ascii="Arial" w:hAnsi="Arial" w:cs="Arial"/>
      <w:color w:val="000000"/>
      <w:sz w:val="24"/>
      <w:szCs w:val="24"/>
    </w:rPr>
  </w:style>
  <w:style w:type="paragraph" w:customStyle="1" w:styleId="cuerpotexto">
    <w:name w:val="cuerpotexto"/>
    <w:basedOn w:val="Normal"/>
    <w:rsid w:val="007C7EF4"/>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cuadro">
    <w:name w:val="cuadro"/>
    <w:basedOn w:val="Normal"/>
    <w:rsid w:val="007C7EF4"/>
    <w:pPr>
      <w:suppressLineNumbers/>
      <w:tabs>
        <w:tab w:val="left" w:pos="-720"/>
        <w:tab w:val="left" w:pos="1134"/>
      </w:tabs>
      <w:spacing w:before="85" w:after="131" w:line="312" w:lineRule="atLeast"/>
      <w:jc w:val="center"/>
    </w:pPr>
    <w:rPr>
      <w:rFonts w:ascii="Times New Roman" w:eastAsia="Times New Roman" w:hAnsi="Times New Roman" w:cs="Times New Roman"/>
      <w:sz w:val="18"/>
      <w:szCs w:val="20"/>
      <w:lang w:val="es-ES_tradnl" w:eastAsia="es-ES"/>
    </w:rPr>
  </w:style>
  <w:style w:type="paragraph" w:customStyle="1" w:styleId="elisa">
    <w:name w:val="elisa"/>
    <w:basedOn w:val="Normal"/>
    <w:rsid w:val="007C7EF4"/>
    <w:pPr>
      <w:tabs>
        <w:tab w:val="left" w:pos="-720"/>
      </w:tabs>
      <w:spacing w:after="0" w:line="240" w:lineRule="auto"/>
      <w:ind w:left="1758"/>
      <w:jc w:val="both"/>
    </w:pPr>
    <w:rPr>
      <w:rFonts w:ascii="Arial" w:eastAsia="Times New Roman" w:hAnsi="Arial" w:cs="Times New Roman"/>
      <w:sz w:val="24"/>
      <w:szCs w:val="20"/>
      <w:lang w:val="es-ES_tradnl" w:eastAsia="es-ES"/>
    </w:rPr>
  </w:style>
  <w:style w:type="paragraph" w:customStyle="1" w:styleId="Sangra2detindependiente10">
    <w:name w:val="Sangría 2 de t. independiente1"/>
    <w:basedOn w:val="Normal"/>
    <w:rsid w:val="007C7EF4"/>
    <w:pPr>
      <w:widowControl w:val="0"/>
      <w:spacing w:after="0" w:line="240" w:lineRule="auto"/>
      <w:ind w:left="2124" w:hanging="2124"/>
      <w:jc w:val="both"/>
    </w:pPr>
    <w:rPr>
      <w:rFonts w:ascii="Times New Roman" w:eastAsia="Times New Roman" w:hAnsi="Times New Roman" w:cs="Times New Roman"/>
      <w:sz w:val="24"/>
      <w:szCs w:val="20"/>
      <w:lang w:val="es-ES" w:eastAsia="es-ES"/>
    </w:rPr>
  </w:style>
  <w:style w:type="paragraph" w:customStyle="1" w:styleId="Sangra3detindependiente10">
    <w:name w:val="Sangría 3 de t. independiente1"/>
    <w:basedOn w:val="Normal"/>
    <w:rsid w:val="007C7EF4"/>
    <w:pPr>
      <w:widowControl w:val="0"/>
      <w:spacing w:after="0" w:line="240" w:lineRule="auto"/>
      <w:ind w:left="2127" w:hanging="2127"/>
      <w:jc w:val="both"/>
    </w:pPr>
    <w:rPr>
      <w:rFonts w:ascii="Times New Roman" w:eastAsia="Times New Roman" w:hAnsi="Times New Roman" w:cs="Times New Roman"/>
      <w:sz w:val="24"/>
      <w:szCs w:val="20"/>
      <w:lang w:val="es-ES" w:eastAsia="es-ES"/>
    </w:rPr>
  </w:style>
  <w:style w:type="paragraph" w:customStyle="1" w:styleId="Textoindependiente210">
    <w:name w:val="Texto independiente 21"/>
    <w:basedOn w:val="Normal"/>
    <w:rsid w:val="007C7EF4"/>
    <w:pPr>
      <w:widowControl w:val="0"/>
      <w:spacing w:after="0" w:line="240" w:lineRule="auto"/>
      <w:jc w:val="both"/>
    </w:pPr>
    <w:rPr>
      <w:rFonts w:ascii="Times New Roman" w:eastAsia="Times New Roman" w:hAnsi="Times New Roman" w:cs="Times New Roman"/>
      <w:sz w:val="26"/>
      <w:szCs w:val="20"/>
      <w:lang w:val="es-ES" w:eastAsia="es-ES"/>
    </w:rPr>
  </w:style>
  <w:style w:type="paragraph" w:customStyle="1" w:styleId="Textoindependiente310">
    <w:name w:val="Texto independiente 31"/>
    <w:basedOn w:val="Normal"/>
    <w:rsid w:val="007C7EF4"/>
    <w:pPr>
      <w:widowControl w:val="0"/>
      <w:spacing w:after="0" w:line="240" w:lineRule="auto"/>
    </w:pPr>
    <w:rPr>
      <w:rFonts w:ascii="Times New Roman" w:eastAsia="Times New Roman" w:hAnsi="Times New Roman" w:cs="Times New Roman"/>
      <w:sz w:val="24"/>
      <w:szCs w:val="20"/>
      <w:lang w:val="es-ES" w:eastAsia="es-ES"/>
    </w:rPr>
  </w:style>
  <w:style w:type="paragraph" w:customStyle="1" w:styleId="Normal10">
    <w:name w:val="Normal1"/>
    <w:basedOn w:val="Normal"/>
    <w:rsid w:val="007C7EF4"/>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SOMBRA">
    <w:name w:val="SOMBRA"/>
    <w:basedOn w:val="Normal"/>
    <w:rsid w:val="007C7EF4"/>
    <w:pPr>
      <w:suppressLineNumbers/>
      <w:tabs>
        <w:tab w:val="left" w:pos="-720"/>
        <w:tab w:val="left" w:pos="1134"/>
      </w:tabs>
      <w:spacing w:before="85" w:after="131" w:line="312" w:lineRule="atLeast"/>
      <w:jc w:val="center"/>
    </w:pPr>
    <w:rPr>
      <w:rFonts w:ascii="Times New Roman" w:eastAsia="Times New Roman" w:hAnsi="Times New Roman" w:cs="Times New Roman"/>
      <w:b/>
      <w:sz w:val="18"/>
      <w:szCs w:val="20"/>
      <w:lang w:val="es-ES_tradnl" w:eastAsia="es-ES"/>
    </w:rPr>
  </w:style>
  <w:style w:type="paragraph" w:styleId="Sangradetextonormal">
    <w:name w:val="Body Text Indent"/>
    <w:basedOn w:val="Normal"/>
    <w:link w:val="SangradetextonormalCar"/>
    <w:uiPriority w:val="99"/>
    <w:unhideWhenUsed/>
    <w:rsid w:val="007C7EF4"/>
    <w:pPr>
      <w:spacing w:after="120" w:line="240" w:lineRule="auto"/>
      <w:ind w:left="283"/>
    </w:pPr>
    <w:rPr>
      <w:rFonts w:ascii="Times New Roman" w:eastAsia="Times New Roman" w:hAnsi="Times New Roman" w:cs="Times New Roman"/>
      <w:sz w:val="20"/>
      <w:szCs w:val="20"/>
      <w:lang w:val="es-ES" w:eastAsia="es-ES"/>
    </w:rPr>
  </w:style>
  <w:style w:type="character" w:customStyle="1" w:styleId="SangradetextonormalCar">
    <w:name w:val="Sangría de texto normal Car"/>
    <w:basedOn w:val="Fuentedeprrafopredeter"/>
    <w:link w:val="Sangradetextonormal"/>
    <w:uiPriority w:val="99"/>
    <w:rsid w:val="007C7EF4"/>
    <w:rPr>
      <w:rFonts w:ascii="Times New Roman" w:eastAsia="Times New Roman" w:hAnsi="Times New Roman" w:cs="Times New Roman"/>
      <w:sz w:val="20"/>
      <w:szCs w:val="20"/>
      <w:lang w:val="es-ES" w:eastAsia="es-ES"/>
    </w:rPr>
  </w:style>
  <w:style w:type="paragraph" w:customStyle="1" w:styleId="parrafo">
    <w:name w:val="parrafo"/>
    <w:basedOn w:val="Normal"/>
    <w:rsid w:val="007C7EF4"/>
    <w:pPr>
      <w:suppressLineNumbers/>
      <w:tabs>
        <w:tab w:val="left" w:pos="-720"/>
        <w:tab w:val="left" w:pos="1134"/>
      </w:tabs>
      <w:spacing w:after="0" w:line="312" w:lineRule="atLeast"/>
      <w:ind w:left="284" w:hanging="284"/>
      <w:jc w:val="both"/>
    </w:pPr>
    <w:rPr>
      <w:rFonts w:ascii="Times New Roman" w:eastAsia="Times New Roman" w:hAnsi="Times New Roman" w:cs="Times New Roman"/>
      <w:sz w:val="24"/>
      <w:szCs w:val="20"/>
      <w:lang w:val="es-ES_tradnl" w:eastAsia="es-ES"/>
    </w:rPr>
  </w:style>
  <w:style w:type="character" w:customStyle="1" w:styleId="apple-converted-space">
    <w:name w:val="apple-converted-space"/>
    <w:rsid w:val="007C7EF4"/>
  </w:style>
  <w:style w:type="paragraph" w:customStyle="1" w:styleId="Normal11">
    <w:name w:val="Normal+1"/>
    <w:basedOn w:val="Default"/>
    <w:next w:val="Default"/>
    <w:rsid w:val="007C7EF4"/>
    <w:rPr>
      <w:rFonts w:ascii="Times New Roman" w:eastAsia="Times New Roman" w:hAnsi="Times New Roman" w:cs="Times New Roman"/>
      <w:color w:val="auto"/>
      <w:lang w:val="es-ES" w:eastAsia="es-ES"/>
    </w:rPr>
  </w:style>
  <w:style w:type="table" w:customStyle="1" w:styleId="TableNormal">
    <w:name w:val="Table Normal"/>
    <w:uiPriority w:val="2"/>
    <w:semiHidden/>
    <w:unhideWhenUsed/>
    <w:qFormat/>
    <w:rsid w:val="007C7EF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C7EF4"/>
    <w:pPr>
      <w:widowControl w:val="0"/>
      <w:spacing w:after="0" w:line="240" w:lineRule="auto"/>
    </w:pPr>
    <w:rPr>
      <w:rFonts w:ascii="Calibri" w:eastAsia="Calibri" w:hAnsi="Calibri" w:cs="Times New Roman"/>
      <w:lang w:val="en-US"/>
    </w:rPr>
  </w:style>
  <w:style w:type="paragraph" w:customStyle="1" w:styleId="ELISA0">
    <w:name w:val="ELISA"/>
    <w:basedOn w:val="Normal"/>
    <w:rsid w:val="007C7EF4"/>
    <w:pPr>
      <w:tabs>
        <w:tab w:val="left" w:pos="-720"/>
      </w:tabs>
      <w:spacing w:after="0" w:line="240" w:lineRule="auto"/>
      <w:ind w:left="1758"/>
      <w:jc w:val="both"/>
    </w:pPr>
    <w:rPr>
      <w:rFonts w:ascii="Arial" w:eastAsia="Times New Roman" w:hAnsi="Arial" w:cs="Times New Roman"/>
      <w:sz w:val="24"/>
      <w:szCs w:val="20"/>
      <w:lang w:val="es-ES_tradnl" w:eastAsia="es-ES"/>
    </w:rPr>
  </w:style>
  <w:style w:type="table" w:styleId="Tablanormal2">
    <w:name w:val="Plain Table 2"/>
    <w:basedOn w:val="Tablanormal"/>
    <w:uiPriority w:val="42"/>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stilo1">
    <w:name w:val="estilo1"/>
    <w:basedOn w:val="Normal"/>
    <w:rsid w:val="007C7EF4"/>
    <w:pPr>
      <w:spacing w:before="230" w:after="230" w:line="216" w:lineRule="atLeast"/>
      <w:ind w:left="230" w:right="230"/>
    </w:pPr>
    <w:rPr>
      <w:rFonts w:ascii="Verdana" w:eastAsia="Times New Roman" w:hAnsi="Verdana" w:cs="Times New Roman"/>
      <w:color w:val="000000"/>
      <w:sz w:val="18"/>
      <w:szCs w:val="18"/>
      <w:lang w:val="en-GB" w:eastAsia="en-GB"/>
    </w:rPr>
  </w:style>
  <w:style w:type="paragraph" w:customStyle="1" w:styleId="Sangra2detindependiente2">
    <w:name w:val="Sangría 2 de t. independiente2"/>
    <w:basedOn w:val="Normal"/>
    <w:rsid w:val="007C7EF4"/>
    <w:pPr>
      <w:widowControl w:val="0"/>
      <w:spacing w:after="0" w:line="240" w:lineRule="auto"/>
      <w:ind w:left="2124" w:hanging="2124"/>
      <w:jc w:val="both"/>
    </w:pPr>
    <w:rPr>
      <w:rFonts w:ascii="Times New Roman" w:eastAsia="Times New Roman" w:hAnsi="Times New Roman" w:cs="Times New Roman"/>
      <w:sz w:val="24"/>
      <w:szCs w:val="20"/>
      <w:lang w:val="es-ES" w:eastAsia="es-ES"/>
    </w:rPr>
  </w:style>
  <w:style w:type="paragraph" w:customStyle="1" w:styleId="Sangra3detindependiente2">
    <w:name w:val="Sangría 3 de t. independiente2"/>
    <w:basedOn w:val="Normal"/>
    <w:rsid w:val="007C7EF4"/>
    <w:pPr>
      <w:widowControl w:val="0"/>
      <w:spacing w:after="0" w:line="240" w:lineRule="auto"/>
      <w:ind w:left="2127" w:hanging="2127"/>
      <w:jc w:val="both"/>
    </w:pPr>
    <w:rPr>
      <w:rFonts w:ascii="Times New Roman" w:eastAsia="Times New Roman" w:hAnsi="Times New Roman" w:cs="Times New Roman"/>
      <w:sz w:val="24"/>
      <w:szCs w:val="20"/>
      <w:lang w:val="es-ES" w:eastAsia="es-ES"/>
    </w:rPr>
  </w:style>
  <w:style w:type="paragraph" w:customStyle="1" w:styleId="Textoindependiente22">
    <w:name w:val="Texto independiente 22"/>
    <w:basedOn w:val="Normal"/>
    <w:rsid w:val="007C7EF4"/>
    <w:pPr>
      <w:widowControl w:val="0"/>
      <w:spacing w:after="0" w:line="240" w:lineRule="auto"/>
      <w:jc w:val="both"/>
    </w:pPr>
    <w:rPr>
      <w:rFonts w:ascii="Times New Roman" w:eastAsia="Times New Roman" w:hAnsi="Times New Roman" w:cs="Times New Roman"/>
      <w:sz w:val="26"/>
      <w:szCs w:val="20"/>
      <w:lang w:val="es-ES" w:eastAsia="es-ES"/>
    </w:rPr>
  </w:style>
  <w:style w:type="paragraph" w:customStyle="1" w:styleId="Textoindependiente32">
    <w:name w:val="Texto independiente 32"/>
    <w:basedOn w:val="Normal"/>
    <w:rsid w:val="007C7EF4"/>
    <w:pPr>
      <w:widowControl w:val="0"/>
      <w:spacing w:after="0" w:line="240" w:lineRule="auto"/>
    </w:pPr>
    <w:rPr>
      <w:rFonts w:ascii="Times New Roman" w:eastAsia="Times New Roman" w:hAnsi="Times New Roman" w:cs="Times New Roman"/>
      <w:sz w:val="24"/>
      <w:szCs w:val="20"/>
      <w:lang w:val="es-ES" w:eastAsia="es-ES"/>
    </w:rPr>
  </w:style>
  <w:style w:type="paragraph" w:customStyle="1" w:styleId="Normal2">
    <w:name w:val="Normal2"/>
    <w:basedOn w:val="Normal"/>
    <w:rsid w:val="007C7EF4"/>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inplacedisplayid32424771siteid9781">
    <w:name w:val="inplacedisplayid32424771siteid9781"/>
    <w:rsid w:val="007C7EF4"/>
    <w:rPr>
      <w:rFonts w:ascii="Ubuntu" w:hAnsi="Ubuntu" w:hint="default"/>
      <w:color w:val="333333"/>
      <w:sz w:val="19"/>
      <w:szCs w:val="19"/>
    </w:rPr>
  </w:style>
  <w:style w:type="paragraph" w:customStyle="1" w:styleId="actor">
    <w:name w:val="actor"/>
    <w:basedOn w:val="Normal"/>
    <w:rsid w:val="007C7EF4"/>
    <w:pPr>
      <w:shd w:val="clear" w:color="auto" w:fill="CCCCCC"/>
      <w:spacing w:before="100" w:beforeAutospacing="1" w:after="100" w:afterAutospacing="1" w:line="240" w:lineRule="auto"/>
      <w:ind w:left="144"/>
      <w:jc w:val="center"/>
    </w:pPr>
    <w:rPr>
      <w:rFonts w:ascii="Arial" w:eastAsia="Times New Roman" w:hAnsi="Arial" w:cs="Arial"/>
      <w:b/>
      <w:bCs/>
      <w:color w:val="336699"/>
      <w:spacing w:val="24"/>
      <w:sz w:val="27"/>
      <w:szCs w:val="27"/>
      <w:lang w:eastAsia="es-CO"/>
    </w:rPr>
  </w:style>
  <w:style w:type="paragraph" w:customStyle="1" w:styleId="sectiontitle">
    <w:name w:val="sectiontitle"/>
    <w:basedOn w:val="Normal"/>
    <w:rsid w:val="007C7EF4"/>
    <w:pPr>
      <w:spacing w:before="100" w:beforeAutospacing="1" w:after="100" w:afterAutospacing="1" w:line="240" w:lineRule="auto"/>
      <w:ind w:left="144"/>
    </w:pPr>
    <w:rPr>
      <w:rFonts w:ascii="Arial" w:eastAsia="Times New Roman" w:hAnsi="Arial" w:cs="Arial"/>
      <w:b/>
      <w:bCs/>
      <w:color w:val="336699"/>
      <w:sz w:val="27"/>
      <w:szCs w:val="27"/>
      <w:lang w:eastAsia="es-CO"/>
    </w:rPr>
  </w:style>
  <w:style w:type="paragraph" w:styleId="z-Principiodelformulario">
    <w:name w:val="HTML Top of Form"/>
    <w:basedOn w:val="Normal"/>
    <w:next w:val="Normal"/>
    <w:link w:val="z-PrincipiodelformularioCar"/>
    <w:hidden/>
    <w:uiPriority w:val="99"/>
    <w:unhideWhenUsed/>
    <w:rsid w:val="007C7EF4"/>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rsid w:val="007C7EF4"/>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unhideWhenUsed/>
    <w:rsid w:val="007C7EF4"/>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rsid w:val="007C7EF4"/>
    <w:rPr>
      <w:rFonts w:ascii="Arial" w:eastAsia="Times New Roman" w:hAnsi="Arial" w:cs="Arial"/>
      <w:vanish/>
      <w:sz w:val="16"/>
      <w:szCs w:val="16"/>
      <w:lang w:eastAsia="es-CO"/>
    </w:rPr>
  </w:style>
  <w:style w:type="character" w:styleId="Hipervnculovisitado">
    <w:name w:val="FollowedHyperlink"/>
    <w:rsid w:val="007C7EF4"/>
    <w:rPr>
      <w:color w:val="800080"/>
      <w:u w:val="single"/>
    </w:rPr>
  </w:style>
  <w:style w:type="paragraph" w:customStyle="1" w:styleId="TDC32">
    <w:name w:val="TDC 32"/>
    <w:basedOn w:val="Normal"/>
    <w:next w:val="Normal"/>
    <w:autoRedefine/>
    <w:uiPriority w:val="39"/>
    <w:rsid w:val="007C7EF4"/>
    <w:pPr>
      <w:tabs>
        <w:tab w:val="left" w:pos="1100"/>
        <w:tab w:val="right" w:leader="dot" w:pos="8830"/>
      </w:tabs>
      <w:spacing w:after="0" w:line="240" w:lineRule="auto"/>
      <w:jc w:val="both"/>
    </w:pPr>
    <w:rPr>
      <w:rFonts w:ascii="Arial Narrow" w:eastAsia="Times New Roman" w:hAnsi="Arial Narrow" w:cs="Times New Roman"/>
      <w:b/>
      <w:sz w:val="20"/>
      <w:szCs w:val="20"/>
      <w:lang w:val="es-ES" w:eastAsia="es-ES"/>
    </w:rPr>
  </w:style>
  <w:style w:type="character" w:customStyle="1" w:styleId="fontnormal1">
    <w:name w:val="fontnormal1"/>
    <w:rsid w:val="007C7EF4"/>
    <w:rPr>
      <w:sz w:val="18"/>
      <w:szCs w:val="18"/>
    </w:rPr>
  </w:style>
  <w:style w:type="paragraph" w:styleId="Revisin">
    <w:name w:val="Revision"/>
    <w:hidden/>
    <w:uiPriority w:val="99"/>
    <w:semiHidden/>
    <w:rsid w:val="007C7EF4"/>
    <w:pPr>
      <w:spacing w:after="0" w:line="240" w:lineRule="auto"/>
    </w:pPr>
    <w:rPr>
      <w:rFonts w:ascii="Times New Roman" w:eastAsia="Times New Roman" w:hAnsi="Times New Roman" w:cs="Times New Roman"/>
      <w:sz w:val="20"/>
      <w:szCs w:val="20"/>
      <w:lang w:val="es-ES" w:eastAsia="es-ES"/>
    </w:rPr>
  </w:style>
  <w:style w:type="character" w:customStyle="1" w:styleId="baj1">
    <w:name w:val="b_aj1"/>
    <w:rsid w:val="007C7EF4"/>
    <w:rPr>
      <w:b/>
      <w:bCs/>
      <w:color w:val="000000"/>
    </w:rPr>
  </w:style>
  <w:style w:type="character" w:customStyle="1" w:styleId="tgc">
    <w:name w:val="_tgc"/>
    <w:rsid w:val="007C7EF4"/>
  </w:style>
  <w:style w:type="paragraph" w:customStyle="1" w:styleId="Estilo2">
    <w:name w:val="Estilo2"/>
    <w:basedOn w:val="Default"/>
    <w:qFormat/>
    <w:rsid w:val="007C7EF4"/>
    <w:pPr>
      <w:numPr>
        <w:numId w:val="23"/>
      </w:numPr>
    </w:pPr>
    <w:rPr>
      <w:rFonts w:ascii="Calibri" w:eastAsia="Calibri" w:hAnsi="Calibri"/>
      <w:b/>
      <w:bCs/>
      <w:sz w:val="22"/>
      <w:szCs w:val="22"/>
    </w:rPr>
  </w:style>
  <w:style w:type="paragraph" w:customStyle="1" w:styleId="Estilo3">
    <w:name w:val="Estilo3"/>
    <w:basedOn w:val="Estilo2"/>
    <w:link w:val="Estilo3Car"/>
    <w:qFormat/>
    <w:rsid w:val="007C7EF4"/>
    <w:pPr>
      <w:numPr>
        <w:ilvl w:val="1"/>
      </w:numPr>
    </w:pPr>
  </w:style>
  <w:style w:type="character" w:customStyle="1" w:styleId="Estilo3Car">
    <w:name w:val="Estilo3 Car"/>
    <w:link w:val="Estilo3"/>
    <w:rsid w:val="007C7EF4"/>
    <w:rPr>
      <w:rFonts w:ascii="Calibri" w:eastAsia="Calibri" w:hAnsi="Calibri" w:cs="Arial"/>
      <w:b/>
      <w:bCs/>
      <w:color w:val="000000"/>
    </w:rPr>
  </w:style>
  <w:style w:type="paragraph" w:customStyle="1" w:styleId="Pa4">
    <w:name w:val="Pa4"/>
    <w:basedOn w:val="Default"/>
    <w:next w:val="Default"/>
    <w:rsid w:val="007C7EF4"/>
    <w:pPr>
      <w:spacing w:before="20" w:after="20" w:line="191" w:lineRule="atLeast"/>
    </w:pPr>
    <w:rPr>
      <w:rFonts w:ascii="Formata LightCondensed" w:eastAsia="Times New Roman" w:hAnsi="Formata LightCondensed" w:cs="Times New Roman"/>
      <w:color w:val="auto"/>
      <w:lang w:val="es-ES" w:eastAsia="es-ES"/>
    </w:rPr>
  </w:style>
  <w:style w:type="paragraph" w:customStyle="1" w:styleId="p9">
    <w:name w:val="p9"/>
    <w:basedOn w:val="Normal"/>
    <w:rsid w:val="007C7EF4"/>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DC5">
    <w:name w:val="toc 5"/>
    <w:basedOn w:val="Normal"/>
    <w:next w:val="Normal"/>
    <w:autoRedefine/>
    <w:uiPriority w:val="39"/>
    <w:rsid w:val="007C7EF4"/>
    <w:pPr>
      <w:spacing w:after="0" w:line="240" w:lineRule="auto"/>
      <w:ind w:left="800"/>
    </w:pPr>
    <w:rPr>
      <w:rFonts w:ascii="Calibri" w:eastAsia="Times New Roman" w:hAnsi="Calibri" w:cs="Times New Roman"/>
      <w:sz w:val="18"/>
      <w:szCs w:val="18"/>
      <w:lang w:val="es-ES" w:eastAsia="es-ES"/>
    </w:rPr>
  </w:style>
  <w:style w:type="paragraph" w:styleId="TDC4">
    <w:name w:val="toc 4"/>
    <w:basedOn w:val="Normal"/>
    <w:next w:val="Normal"/>
    <w:autoRedefine/>
    <w:uiPriority w:val="39"/>
    <w:rsid w:val="007C7EF4"/>
    <w:pPr>
      <w:spacing w:after="0" w:line="240" w:lineRule="auto"/>
      <w:ind w:left="600"/>
    </w:pPr>
    <w:rPr>
      <w:rFonts w:ascii="Calibri" w:eastAsia="Times New Roman" w:hAnsi="Calibri" w:cs="Times New Roman"/>
      <w:sz w:val="18"/>
      <w:szCs w:val="18"/>
      <w:lang w:val="es-ES" w:eastAsia="es-ES"/>
    </w:rPr>
  </w:style>
  <w:style w:type="paragraph" w:customStyle="1" w:styleId="TDC31">
    <w:name w:val="TDC 31"/>
    <w:basedOn w:val="Normal"/>
    <w:next w:val="Normal"/>
    <w:autoRedefine/>
    <w:uiPriority w:val="39"/>
    <w:rsid w:val="007C7EF4"/>
    <w:pPr>
      <w:tabs>
        <w:tab w:val="left" w:pos="1100"/>
        <w:tab w:val="right" w:leader="dot" w:pos="8830"/>
      </w:tabs>
      <w:spacing w:before="120" w:after="120" w:line="240" w:lineRule="auto"/>
    </w:pPr>
    <w:rPr>
      <w:rFonts w:ascii="Arial Narrow" w:eastAsia="Times New Roman" w:hAnsi="Arial Narrow" w:cs="Times New Roman"/>
      <w:sz w:val="20"/>
      <w:szCs w:val="20"/>
      <w:lang w:val="es-ES" w:eastAsia="es-ES"/>
    </w:rPr>
  </w:style>
  <w:style w:type="table" w:styleId="Tablaconcuadrcula5">
    <w:name w:val="Table Grid 5"/>
    <w:basedOn w:val="Tablanormal"/>
    <w:rsid w:val="007C7EF4"/>
    <w:pPr>
      <w:spacing w:after="0" w:line="240" w:lineRule="auto"/>
    </w:pPr>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rsid w:val="007C7EF4"/>
    <w:pPr>
      <w:spacing w:after="0" w:line="240" w:lineRule="auto"/>
    </w:pPr>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olumnas2">
    <w:name w:val="Table Columns 2"/>
    <w:basedOn w:val="Tablanormal"/>
    <w:rsid w:val="007C7EF4"/>
    <w:pPr>
      <w:spacing w:after="0" w:line="240" w:lineRule="auto"/>
    </w:pPr>
    <w:rPr>
      <w:rFonts w:ascii="Times New Roman" w:eastAsia="Times New Roman" w:hAnsi="Times New Roman" w:cs="Times New Roman"/>
      <w:b/>
      <w:bCs/>
      <w:sz w:val="20"/>
      <w:szCs w:val="20"/>
      <w:lang w:eastAsia="es-C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7C7EF4"/>
    <w:pPr>
      <w:spacing w:after="0" w:line="240" w:lineRule="auto"/>
    </w:pPr>
    <w:rPr>
      <w:rFonts w:ascii="Times New Roman" w:eastAsia="Times New Roman" w:hAnsi="Times New Roman" w:cs="Times New Roman"/>
      <w:b/>
      <w:bCs/>
      <w:sz w:val="20"/>
      <w:szCs w:val="20"/>
      <w:lang w:eastAsia="es-C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styleId="TDC6">
    <w:name w:val="toc 6"/>
    <w:basedOn w:val="Normal"/>
    <w:next w:val="Normal"/>
    <w:autoRedefine/>
    <w:uiPriority w:val="39"/>
    <w:unhideWhenUsed/>
    <w:rsid w:val="007C7EF4"/>
    <w:pPr>
      <w:spacing w:after="0" w:line="240" w:lineRule="auto"/>
      <w:ind w:left="1000"/>
    </w:pPr>
    <w:rPr>
      <w:rFonts w:ascii="Calibri" w:eastAsia="Times New Roman" w:hAnsi="Calibri" w:cs="Times New Roman"/>
      <w:sz w:val="18"/>
      <w:szCs w:val="18"/>
      <w:lang w:val="es-ES" w:eastAsia="es-ES"/>
    </w:rPr>
  </w:style>
  <w:style w:type="paragraph" w:styleId="TDC7">
    <w:name w:val="toc 7"/>
    <w:basedOn w:val="Normal"/>
    <w:next w:val="Normal"/>
    <w:autoRedefine/>
    <w:uiPriority w:val="39"/>
    <w:unhideWhenUsed/>
    <w:rsid w:val="007C7EF4"/>
    <w:pPr>
      <w:spacing w:after="0" w:line="240" w:lineRule="auto"/>
      <w:ind w:left="1200"/>
    </w:pPr>
    <w:rPr>
      <w:rFonts w:ascii="Calibri" w:eastAsia="Times New Roman" w:hAnsi="Calibri" w:cs="Times New Roman"/>
      <w:sz w:val="18"/>
      <w:szCs w:val="18"/>
      <w:lang w:val="es-ES" w:eastAsia="es-ES"/>
    </w:rPr>
  </w:style>
  <w:style w:type="paragraph" w:styleId="TDC8">
    <w:name w:val="toc 8"/>
    <w:basedOn w:val="Normal"/>
    <w:next w:val="Normal"/>
    <w:autoRedefine/>
    <w:uiPriority w:val="39"/>
    <w:unhideWhenUsed/>
    <w:rsid w:val="007C7EF4"/>
    <w:pPr>
      <w:spacing w:after="0" w:line="240" w:lineRule="auto"/>
      <w:ind w:left="1400"/>
    </w:pPr>
    <w:rPr>
      <w:rFonts w:ascii="Calibri" w:eastAsia="Times New Roman" w:hAnsi="Calibri" w:cs="Times New Roman"/>
      <w:sz w:val="18"/>
      <w:szCs w:val="18"/>
      <w:lang w:val="es-ES" w:eastAsia="es-ES"/>
    </w:rPr>
  </w:style>
  <w:style w:type="paragraph" w:styleId="TDC9">
    <w:name w:val="toc 9"/>
    <w:basedOn w:val="Normal"/>
    <w:next w:val="Normal"/>
    <w:autoRedefine/>
    <w:uiPriority w:val="39"/>
    <w:unhideWhenUsed/>
    <w:rsid w:val="007C7EF4"/>
    <w:pPr>
      <w:spacing w:after="0" w:line="240" w:lineRule="auto"/>
      <w:ind w:left="1600"/>
    </w:pPr>
    <w:rPr>
      <w:rFonts w:ascii="Calibri" w:eastAsia="Times New Roman" w:hAnsi="Calibri" w:cs="Times New Roman"/>
      <w:sz w:val="18"/>
      <w:szCs w:val="18"/>
      <w:lang w:val="es-ES" w:eastAsia="es-ES"/>
    </w:rPr>
  </w:style>
  <w:style w:type="table" w:styleId="Cuadrculamedia1-nfasis1">
    <w:name w:val="Medium Grid 1 Accent 1"/>
    <w:basedOn w:val="Tablanormal"/>
    <w:uiPriority w:val="67"/>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Sombreadomedio1-nfasis1">
    <w:name w:val="Medium Shading 1 Accent 1"/>
    <w:basedOn w:val="Tablanormal"/>
    <w:uiPriority w:val="63"/>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Sombreadoclaro-nfasis1">
    <w:name w:val="Light Shading Accent 1"/>
    <w:basedOn w:val="Tablanormal"/>
    <w:uiPriority w:val="60"/>
    <w:rsid w:val="007C7EF4"/>
    <w:pPr>
      <w:spacing w:after="0" w:line="240" w:lineRule="auto"/>
    </w:pPr>
    <w:rPr>
      <w:rFonts w:ascii="Times New Roman" w:eastAsia="Times New Roman" w:hAnsi="Times New Roman" w:cs="Times New Roman"/>
      <w:color w:val="2E74B5"/>
      <w:sz w:val="20"/>
      <w:szCs w:val="20"/>
      <w:lang w:eastAsia="es-CO"/>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customStyle="1" w:styleId="TtuloCar">
    <w:name w:val="Título Car"/>
    <w:link w:val="Ttulo"/>
    <w:rsid w:val="007C7EF4"/>
    <w:rPr>
      <w:rFonts w:ascii="Calibri Light" w:hAnsi="Calibri Light"/>
      <w:b/>
      <w:bCs/>
      <w:kern w:val="28"/>
      <w:sz w:val="32"/>
      <w:szCs w:val="32"/>
      <w:lang w:val="es-ES" w:eastAsia="es-ES"/>
    </w:rPr>
  </w:style>
  <w:style w:type="table" w:styleId="Tabladelista2-nfasis5">
    <w:name w:val="List Table 2 Accent 5"/>
    <w:basedOn w:val="Tablanormal"/>
    <w:uiPriority w:val="47"/>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vistosa2">
    <w:name w:val="Table Colorful 2"/>
    <w:basedOn w:val="Tablanormal"/>
    <w:rsid w:val="007C7EF4"/>
    <w:pPr>
      <w:spacing w:after="0" w:line="240" w:lineRule="auto"/>
    </w:pPr>
    <w:rPr>
      <w:rFonts w:ascii="Times New Roman" w:eastAsia="Times New Roman" w:hAnsi="Times New Roman" w:cs="Times New Roman"/>
      <w:sz w:val="20"/>
      <w:szCs w:val="20"/>
      <w:lang w:eastAsia="es-C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tema">
    <w:name w:val="Table Theme"/>
    <w:basedOn w:val="Tablanormal"/>
    <w:rsid w:val="007C7EF4"/>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profesional">
    <w:name w:val="Table Professional"/>
    <w:basedOn w:val="Tablanormal"/>
    <w:rsid w:val="007C7EF4"/>
    <w:pPr>
      <w:spacing w:after="0" w:line="240" w:lineRule="auto"/>
    </w:pPr>
    <w:rPr>
      <w:rFonts w:ascii="Times New Roman" w:eastAsia="Times New Roman" w:hAnsi="Times New Roman" w:cs="Times New Roman"/>
      <w:sz w:val="20"/>
      <w:szCs w:val="20"/>
      <w:lang w:eastAsia="es-C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clsica3">
    <w:name w:val="Table Classic 3"/>
    <w:basedOn w:val="Tablanormal"/>
    <w:rsid w:val="007C7EF4"/>
    <w:pPr>
      <w:spacing w:after="0" w:line="240" w:lineRule="auto"/>
    </w:pPr>
    <w:rPr>
      <w:rFonts w:ascii="Times New Roman" w:eastAsia="Times New Roman" w:hAnsi="Times New Roman" w:cs="Times New Roman"/>
      <w:color w:val="000080"/>
      <w:sz w:val="20"/>
      <w:szCs w:val="20"/>
      <w:lang w:eastAsia="es-CO"/>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oncuadrcula1clara-nfasis5">
    <w:name w:val="Grid Table 1 Light Accent 5"/>
    <w:basedOn w:val="Tablanormal"/>
    <w:uiPriority w:val="46"/>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7C7EF4"/>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aconcuadrcula8">
    <w:name w:val="Table Grid 8"/>
    <w:basedOn w:val="Tablanormal"/>
    <w:rsid w:val="007C7EF4"/>
    <w:pPr>
      <w:spacing w:after="0" w:line="240" w:lineRule="auto"/>
    </w:pPr>
    <w:rPr>
      <w:rFonts w:ascii="Times New Roman" w:eastAsia="Times New Roman" w:hAnsi="Times New Roman" w:cs="Times New Roman"/>
      <w:sz w:val="20"/>
      <w:szCs w:val="20"/>
      <w:lang w:eastAsia="es-C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grame">
    <w:name w:val="grame"/>
    <w:rsid w:val="007C7EF4"/>
  </w:style>
  <w:style w:type="paragraph" w:styleId="Ttulo">
    <w:name w:val="Title"/>
    <w:basedOn w:val="Normal"/>
    <w:next w:val="Normal"/>
    <w:link w:val="TtuloCar"/>
    <w:qFormat/>
    <w:rsid w:val="007C7EF4"/>
    <w:pPr>
      <w:spacing w:after="0" w:line="240" w:lineRule="auto"/>
      <w:contextualSpacing/>
    </w:pPr>
    <w:rPr>
      <w:rFonts w:ascii="Calibri Light" w:hAnsi="Calibri Light"/>
      <w:b/>
      <w:bCs/>
      <w:kern w:val="28"/>
      <w:sz w:val="32"/>
      <w:szCs w:val="32"/>
      <w:lang w:val="es-ES" w:eastAsia="es-ES"/>
    </w:rPr>
  </w:style>
  <w:style w:type="character" w:customStyle="1" w:styleId="TtuloCar1">
    <w:name w:val="Título Car1"/>
    <w:basedOn w:val="Fuentedeprrafopredeter"/>
    <w:uiPriority w:val="10"/>
    <w:rsid w:val="007C7EF4"/>
    <w:rPr>
      <w:rFonts w:asciiTheme="majorHAnsi" w:eastAsiaTheme="majorEastAsia" w:hAnsiTheme="majorHAnsi" w:cstheme="majorBidi"/>
      <w:spacing w:val="-10"/>
      <w:kern w:val="28"/>
      <w:sz w:val="56"/>
      <w:szCs w:val="56"/>
    </w:rPr>
  </w:style>
  <w:style w:type="character" w:customStyle="1" w:styleId="PuestoCar">
    <w:name w:val="Puesto Car"/>
    <w:uiPriority w:val="10"/>
    <w:rsid w:val="007C7EF4"/>
    <w:rPr>
      <w:rFonts w:ascii="Cambria" w:eastAsia="Times New Roman" w:hAnsi="Cambria" w:cs="Times New Roman"/>
      <w:spacing w:val="-10"/>
      <w:kern w:val="28"/>
      <w:sz w:val="56"/>
      <w:szCs w:val="56"/>
      <w:lang w:val="es-ES" w:eastAsia="es-ES"/>
    </w:rPr>
  </w:style>
  <w:style w:type="paragraph" w:customStyle="1" w:styleId="Estilo1a">
    <w:name w:val="Estilo1a"/>
    <w:basedOn w:val="Default"/>
    <w:link w:val="Estilo1aCar"/>
    <w:qFormat/>
    <w:rsid w:val="007C7EF4"/>
    <w:pPr>
      <w:ind w:left="720"/>
      <w:jc w:val="both"/>
    </w:pPr>
    <w:rPr>
      <w:rFonts w:eastAsia="Calibri"/>
      <w:b/>
      <w:i/>
      <w:sz w:val="22"/>
      <w:szCs w:val="22"/>
    </w:rPr>
  </w:style>
  <w:style w:type="character" w:customStyle="1" w:styleId="Estilo1aCar">
    <w:name w:val="Estilo1a Car"/>
    <w:link w:val="Estilo1a"/>
    <w:rsid w:val="007C7EF4"/>
    <w:rPr>
      <w:rFonts w:ascii="Arial" w:eastAsia="Calibri" w:hAnsi="Arial" w:cs="Arial"/>
      <w:b/>
      <w:i/>
      <w:color w:val="000000"/>
    </w:rPr>
  </w:style>
  <w:style w:type="character" w:styleId="Mencinsinresolver">
    <w:name w:val="Unresolved Mention"/>
    <w:uiPriority w:val="99"/>
    <w:semiHidden/>
    <w:unhideWhenUsed/>
    <w:rsid w:val="007C7EF4"/>
    <w:rPr>
      <w:color w:val="605E5C"/>
      <w:shd w:val="clear" w:color="auto" w:fill="E1DFDD"/>
    </w:rPr>
  </w:style>
  <w:style w:type="numbering" w:customStyle="1" w:styleId="Sinlista1">
    <w:name w:val="Sin lista1"/>
    <w:next w:val="Sinlista"/>
    <w:uiPriority w:val="99"/>
    <w:semiHidden/>
    <w:rsid w:val="007C7EF4"/>
  </w:style>
  <w:style w:type="table" w:customStyle="1" w:styleId="Tablaconcuadrcula1">
    <w:name w:val="Tabla con cuadrícula1"/>
    <w:basedOn w:val="Tablanormal"/>
    <w:next w:val="Tablaconcuadrcula"/>
    <w:uiPriority w:val="59"/>
    <w:rsid w:val="007C7EF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9539">
      <w:bodyDiv w:val="1"/>
      <w:marLeft w:val="0"/>
      <w:marRight w:val="0"/>
      <w:marTop w:val="0"/>
      <w:marBottom w:val="0"/>
      <w:divBdr>
        <w:top w:val="none" w:sz="0" w:space="0" w:color="auto"/>
        <w:left w:val="none" w:sz="0" w:space="0" w:color="auto"/>
        <w:bottom w:val="none" w:sz="0" w:space="0" w:color="auto"/>
        <w:right w:val="none" w:sz="0" w:space="0" w:color="auto"/>
      </w:divBdr>
    </w:div>
    <w:div w:id="45177947">
      <w:bodyDiv w:val="1"/>
      <w:marLeft w:val="0"/>
      <w:marRight w:val="0"/>
      <w:marTop w:val="0"/>
      <w:marBottom w:val="0"/>
      <w:divBdr>
        <w:top w:val="none" w:sz="0" w:space="0" w:color="auto"/>
        <w:left w:val="none" w:sz="0" w:space="0" w:color="auto"/>
        <w:bottom w:val="none" w:sz="0" w:space="0" w:color="auto"/>
        <w:right w:val="none" w:sz="0" w:space="0" w:color="auto"/>
      </w:divBdr>
    </w:div>
    <w:div w:id="135298109">
      <w:bodyDiv w:val="1"/>
      <w:marLeft w:val="0"/>
      <w:marRight w:val="0"/>
      <w:marTop w:val="0"/>
      <w:marBottom w:val="0"/>
      <w:divBdr>
        <w:top w:val="none" w:sz="0" w:space="0" w:color="auto"/>
        <w:left w:val="none" w:sz="0" w:space="0" w:color="auto"/>
        <w:bottom w:val="none" w:sz="0" w:space="0" w:color="auto"/>
        <w:right w:val="none" w:sz="0" w:space="0" w:color="auto"/>
      </w:divBdr>
    </w:div>
    <w:div w:id="213662182">
      <w:bodyDiv w:val="1"/>
      <w:marLeft w:val="0"/>
      <w:marRight w:val="0"/>
      <w:marTop w:val="0"/>
      <w:marBottom w:val="0"/>
      <w:divBdr>
        <w:top w:val="none" w:sz="0" w:space="0" w:color="auto"/>
        <w:left w:val="none" w:sz="0" w:space="0" w:color="auto"/>
        <w:bottom w:val="none" w:sz="0" w:space="0" w:color="auto"/>
        <w:right w:val="none" w:sz="0" w:space="0" w:color="auto"/>
      </w:divBdr>
    </w:div>
    <w:div w:id="259222947">
      <w:bodyDiv w:val="1"/>
      <w:marLeft w:val="0"/>
      <w:marRight w:val="0"/>
      <w:marTop w:val="0"/>
      <w:marBottom w:val="0"/>
      <w:divBdr>
        <w:top w:val="none" w:sz="0" w:space="0" w:color="auto"/>
        <w:left w:val="none" w:sz="0" w:space="0" w:color="auto"/>
        <w:bottom w:val="none" w:sz="0" w:space="0" w:color="auto"/>
        <w:right w:val="none" w:sz="0" w:space="0" w:color="auto"/>
      </w:divBdr>
    </w:div>
    <w:div w:id="369497012">
      <w:bodyDiv w:val="1"/>
      <w:marLeft w:val="0"/>
      <w:marRight w:val="0"/>
      <w:marTop w:val="0"/>
      <w:marBottom w:val="0"/>
      <w:divBdr>
        <w:top w:val="none" w:sz="0" w:space="0" w:color="auto"/>
        <w:left w:val="none" w:sz="0" w:space="0" w:color="auto"/>
        <w:bottom w:val="none" w:sz="0" w:space="0" w:color="auto"/>
        <w:right w:val="none" w:sz="0" w:space="0" w:color="auto"/>
      </w:divBdr>
    </w:div>
    <w:div w:id="492716923">
      <w:bodyDiv w:val="1"/>
      <w:marLeft w:val="0"/>
      <w:marRight w:val="0"/>
      <w:marTop w:val="0"/>
      <w:marBottom w:val="0"/>
      <w:divBdr>
        <w:top w:val="none" w:sz="0" w:space="0" w:color="auto"/>
        <w:left w:val="none" w:sz="0" w:space="0" w:color="auto"/>
        <w:bottom w:val="none" w:sz="0" w:space="0" w:color="auto"/>
        <w:right w:val="none" w:sz="0" w:space="0" w:color="auto"/>
      </w:divBdr>
    </w:div>
    <w:div w:id="548491792">
      <w:bodyDiv w:val="1"/>
      <w:marLeft w:val="0"/>
      <w:marRight w:val="0"/>
      <w:marTop w:val="0"/>
      <w:marBottom w:val="0"/>
      <w:divBdr>
        <w:top w:val="none" w:sz="0" w:space="0" w:color="auto"/>
        <w:left w:val="none" w:sz="0" w:space="0" w:color="auto"/>
        <w:bottom w:val="none" w:sz="0" w:space="0" w:color="auto"/>
        <w:right w:val="none" w:sz="0" w:space="0" w:color="auto"/>
      </w:divBdr>
    </w:div>
    <w:div w:id="606891321">
      <w:bodyDiv w:val="1"/>
      <w:marLeft w:val="0"/>
      <w:marRight w:val="0"/>
      <w:marTop w:val="0"/>
      <w:marBottom w:val="0"/>
      <w:divBdr>
        <w:top w:val="none" w:sz="0" w:space="0" w:color="auto"/>
        <w:left w:val="none" w:sz="0" w:space="0" w:color="auto"/>
        <w:bottom w:val="none" w:sz="0" w:space="0" w:color="auto"/>
        <w:right w:val="none" w:sz="0" w:space="0" w:color="auto"/>
      </w:divBdr>
    </w:div>
    <w:div w:id="718092445">
      <w:bodyDiv w:val="1"/>
      <w:marLeft w:val="0"/>
      <w:marRight w:val="0"/>
      <w:marTop w:val="0"/>
      <w:marBottom w:val="0"/>
      <w:divBdr>
        <w:top w:val="none" w:sz="0" w:space="0" w:color="auto"/>
        <w:left w:val="none" w:sz="0" w:space="0" w:color="auto"/>
        <w:bottom w:val="none" w:sz="0" w:space="0" w:color="auto"/>
        <w:right w:val="none" w:sz="0" w:space="0" w:color="auto"/>
      </w:divBdr>
    </w:div>
    <w:div w:id="864295706">
      <w:bodyDiv w:val="1"/>
      <w:marLeft w:val="0"/>
      <w:marRight w:val="0"/>
      <w:marTop w:val="0"/>
      <w:marBottom w:val="0"/>
      <w:divBdr>
        <w:top w:val="none" w:sz="0" w:space="0" w:color="auto"/>
        <w:left w:val="none" w:sz="0" w:space="0" w:color="auto"/>
        <w:bottom w:val="none" w:sz="0" w:space="0" w:color="auto"/>
        <w:right w:val="none" w:sz="0" w:space="0" w:color="auto"/>
      </w:divBdr>
    </w:div>
    <w:div w:id="1037201456">
      <w:bodyDiv w:val="1"/>
      <w:marLeft w:val="0"/>
      <w:marRight w:val="0"/>
      <w:marTop w:val="0"/>
      <w:marBottom w:val="0"/>
      <w:divBdr>
        <w:top w:val="none" w:sz="0" w:space="0" w:color="auto"/>
        <w:left w:val="none" w:sz="0" w:space="0" w:color="auto"/>
        <w:bottom w:val="none" w:sz="0" w:space="0" w:color="auto"/>
        <w:right w:val="none" w:sz="0" w:space="0" w:color="auto"/>
      </w:divBdr>
    </w:div>
    <w:div w:id="1166941963">
      <w:bodyDiv w:val="1"/>
      <w:marLeft w:val="0"/>
      <w:marRight w:val="0"/>
      <w:marTop w:val="0"/>
      <w:marBottom w:val="0"/>
      <w:divBdr>
        <w:top w:val="none" w:sz="0" w:space="0" w:color="auto"/>
        <w:left w:val="none" w:sz="0" w:space="0" w:color="auto"/>
        <w:bottom w:val="none" w:sz="0" w:space="0" w:color="auto"/>
        <w:right w:val="none" w:sz="0" w:space="0" w:color="auto"/>
      </w:divBdr>
    </w:div>
    <w:div w:id="1315140148">
      <w:bodyDiv w:val="1"/>
      <w:marLeft w:val="0"/>
      <w:marRight w:val="0"/>
      <w:marTop w:val="0"/>
      <w:marBottom w:val="0"/>
      <w:divBdr>
        <w:top w:val="none" w:sz="0" w:space="0" w:color="auto"/>
        <w:left w:val="none" w:sz="0" w:space="0" w:color="auto"/>
        <w:bottom w:val="none" w:sz="0" w:space="0" w:color="auto"/>
        <w:right w:val="none" w:sz="0" w:space="0" w:color="auto"/>
      </w:divBdr>
    </w:div>
    <w:div w:id="1339884926">
      <w:bodyDiv w:val="1"/>
      <w:marLeft w:val="0"/>
      <w:marRight w:val="0"/>
      <w:marTop w:val="0"/>
      <w:marBottom w:val="0"/>
      <w:divBdr>
        <w:top w:val="none" w:sz="0" w:space="0" w:color="auto"/>
        <w:left w:val="none" w:sz="0" w:space="0" w:color="auto"/>
        <w:bottom w:val="none" w:sz="0" w:space="0" w:color="auto"/>
        <w:right w:val="none" w:sz="0" w:space="0" w:color="auto"/>
      </w:divBdr>
    </w:div>
    <w:div w:id="1344627040">
      <w:bodyDiv w:val="1"/>
      <w:marLeft w:val="0"/>
      <w:marRight w:val="0"/>
      <w:marTop w:val="0"/>
      <w:marBottom w:val="0"/>
      <w:divBdr>
        <w:top w:val="none" w:sz="0" w:space="0" w:color="auto"/>
        <w:left w:val="none" w:sz="0" w:space="0" w:color="auto"/>
        <w:bottom w:val="none" w:sz="0" w:space="0" w:color="auto"/>
        <w:right w:val="none" w:sz="0" w:space="0" w:color="auto"/>
      </w:divBdr>
    </w:div>
    <w:div w:id="1528175312">
      <w:bodyDiv w:val="1"/>
      <w:marLeft w:val="0"/>
      <w:marRight w:val="0"/>
      <w:marTop w:val="0"/>
      <w:marBottom w:val="0"/>
      <w:divBdr>
        <w:top w:val="none" w:sz="0" w:space="0" w:color="auto"/>
        <w:left w:val="none" w:sz="0" w:space="0" w:color="auto"/>
        <w:bottom w:val="none" w:sz="0" w:space="0" w:color="auto"/>
        <w:right w:val="none" w:sz="0" w:space="0" w:color="auto"/>
      </w:divBdr>
    </w:div>
    <w:div w:id="1571232242">
      <w:bodyDiv w:val="1"/>
      <w:marLeft w:val="0"/>
      <w:marRight w:val="0"/>
      <w:marTop w:val="0"/>
      <w:marBottom w:val="0"/>
      <w:divBdr>
        <w:top w:val="none" w:sz="0" w:space="0" w:color="auto"/>
        <w:left w:val="none" w:sz="0" w:space="0" w:color="auto"/>
        <w:bottom w:val="none" w:sz="0" w:space="0" w:color="auto"/>
        <w:right w:val="none" w:sz="0" w:space="0" w:color="auto"/>
      </w:divBdr>
    </w:div>
    <w:div w:id="1575159039">
      <w:bodyDiv w:val="1"/>
      <w:marLeft w:val="0"/>
      <w:marRight w:val="0"/>
      <w:marTop w:val="0"/>
      <w:marBottom w:val="0"/>
      <w:divBdr>
        <w:top w:val="none" w:sz="0" w:space="0" w:color="auto"/>
        <w:left w:val="none" w:sz="0" w:space="0" w:color="auto"/>
        <w:bottom w:val="none" w:sz="0" w:space="0" w:color="auto"/>
        <w:right w:val="none" w:sz="0" w:space="0" w:color="auto"/>
      </w:divBdr>
    </w:div>
    <w:div w:id="1769810785">
      <w:bodyDiv w:val="1"/>
      <w:marLeft w:val="0"/>
      <w:marRight w:val="0"/>
      <w:marTop w:val="0"/>
      <w:marBottom w:val="0"/>
      <w:divBdr>
        <w:top w:val="none" w:sz="0" w:space="0" w:color="auto"/>
        <w:left w:val="none" w:sz="0" w:space="0" w:color="auto"/>
        <w:bottom w:val="none" w:sz="0" w:space="0" w:color="auto"/>
        <w:right w:val="none" w:sz="0" w:space="0" w:color="auto"/>
      </w:divBdr>
    </w:div>
    <w:div w:id="1778207781">
      <w:bodyDiv w:val="1"/>
      <w:marLeft w:val="0"/>
      <w:marRight w:val="0"/>
      <w:marTop w:val="0"/>
      <w:marBottom w:val="0"/>
      <w:divBdr>
        <w:top w:val="none" w:sz="0" w:space="0" w:color="auto"/>
        <w:left w:val="none" w:sz="0" w:space="0" w:color="auto"/>
        <w:bottom w:val="none" w:sz="0" w:space="0" w:color="auto"/>
        <w:right w:val="none" w:sz="0" w:space="0" w:color="auto"/>
      </w:divBdr>
    </w:div>
    <w:div w:id="1803841310">
      <w:bodyDiv w:val="1"/>
      <w:marLeft w:val="0"/>
      <w:marRight w:val="0"/>
      <w:marTop w:val="0"/>
      <w:marBottom w:val="0"/>
      <w:divBdr>
        <w:top w:val="none" w:sz="0" w:space="0" w:color="auto"/>
        <w:left w:val="none" w:sz="0" w:space="0" w:color="auto"/>
        <w:bottom w:val="none" w:sz="0" w:space="0" w:color="auto"/>
        <w:right w:val="none" w:sz="0" w:space="0" w:color="auto"/>
      </w:divBdr>
    </w:div>
    <w:div w:id="1932546730">
      <w:bodyDiv w:val="1"/>
      <w:marLeft w:val="0"/>
      <w:marRight w:val="0"/>
      <w:marTop w:val="0"/>
      <w:marBottom w:val="0"/>
      <w:divBdr>
        <w:top w:val="none" w:sz="0" w:space="0" w:color="auto"/>
        <w:left w:val="none" w:sz="0" w:space="0" w:color="auto"/>
        <w:bottom w:val="none" w:sz="0" w:space="0" w:color="auto"/>
        <w:right w:val="none" w:sz="0" w:space="0" w:color="auto"/>
      </w:divBdr>
    </w:div>
    <w:div w:id="1973242399">
      <w:bodyDiv w:val="1"/>
      <w:marLeft w:val="0"/>
      <w:marRight w:val="0"/>
      <w:marTop w:val="0"/>
      <w:marBottom w:val="0"/>
      <w:divBdr>
        <w:top w:val="none" w:sz="0" w:space="0" w:color="auto"/>
        <w:left w:val="none" w:sz="0" w:space="0" w:color="auto"/>
        <w:bottom w:val="none" w:sz="0" w:space="0" w:color="auto"/>
        <w:right w:val="none" w:sz="0" w:space="0" w:color="auto"/>
      </w:divBdr>
    </w:div>
    <w:div w:id="2008751914">
      <w:bodyDiv w:val="1"/>
      <w:marLeft w:val="0"/>
      <w:marRight w:val="0"/>
      <w:marTop w:val="0"/>
      <w:marBottom w:val="0"/>
      <w:divBdr>
        <w:top w:val="none" w:sz="0" w:space="0" w:color="auto"/>
        <w:left w:val="none" w:sz="0" w:space="0" w:color="auto"/>
        <w:bottom w:val="none" w:sz="0" w:space="0" w:color="auto"/>
        <w:right w:val="none" w:sz="0" w:space="0" w:color="auto"/>
      </w:divBdr>
    </w:div>
    <w:div w:id="2145538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mailto:relacionciudadano@minhacienda.gov.co" TargetMode="External"/><Relationship Id="rId2" Type="http://schemas.openxmlformats.org/officeDocument/2006/relationships/customXml" Target="../customXml/item2.xml"/><Relationship Id="rId16" Type="http://schemas.openxmlformats.org/officeDocument/2006/relationships/hyperlink" Target="mailto:relacionciudadano@minhacienda.gov.co"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4CAF40325C9FA45BE41CDD1FAD4A046" ma:contentTypeVersion="14" ma:contentTypeDescription="Crear nuevo documento." ma:contentTypeScope="" ma:versionID="f86af02015040bff37403c3983fdc75e">
  <xsd:schema xmlns:xsd="http://www.w3.org/2001/XMLSchema" xmlns:xs="http://www.w3.org/2001/XMLSchema" xmlns:p="http://schemas.microsoft.com/office/2006/metadata/properties" xmlns:ns2="ceef501b-354f-44f0-8f02-6f338f4adc86" xmlns:ns3="f443b406-a6ff-4545-ab8c-85f9f4adb3e9" targetNamespace="http://schemas.microsoft.com/office/2006/metadata/properties" ma:root="true" ma:fieldsID="2768a4ab77affcdc7462ff98db5fe446" ns2:_="" ns3:_="">
    <xsd:import namespace="ceef501b-354f-44f0-8f02-6f338f4adc86"/>
    <xsd:import namespace="f443b406-a6ff-4545-ab8c-85f9f4adb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ef501b-354f-44f0-8f02-6f338f4adc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25bf450d-cec3-4795-b03d-1d61ae30157d"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443b406-a6ff-4545-ab8c-85f9f4adb3e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e22923e7-a290-49e6-9fd6-9c934cbdaf40}" ma:internalName="TaxCatchAll" ma:showField="CatchAllData" ma:web="f443b406-a6ff-4545-ab8c-85f9f4adb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443b406-a6ff-4545-ab8c-85f9f4adb3e9" xsi:nil="true"/>
    <lcf76f155ced4ddcb4097134ff3c332f xmlns="ceef501b-354f-44f0-8f02-6f338f4adc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412A7F-1502-4680-A018-5FE04E6E0520}"/>
</file>

<file path=customXml/itemProps2.xml><?xml version="1.0" encoding="utf-8"?>
<ds:datastoreItem xmlns:ds="http://schemas.openxmlformats.org/officeDocument/2006/customXml" ds:itemID="{F651454D-8911-4A95-BBF5-27FAFF97225D}">
  <ds:schemaRefs>
    <ds:schemaRef ds:uri="http://schemas.microsoft.com/sharepoint/v3/contenttype/forms"/>
  </ds:schemaRefs>
</ds:datastoreItem>
</file>

<file path=customXml/itemProps3.xml><?xml version="1.0" encoding="utf-8"?>
<ds:datastoreItem xmlns:ds="http://schemas.openxmlformats.org/officeDocument/2006/customXml" ds:itemID="{36082493-A7C7-4380-904C-9027BFA12F3D}">
  <ds:schemaRefs>
    <ds:schemaRef ds:uri="http://schemas.microsoft.com/office/2006/metadata/properties"/>
    <ds:schemaRef ds:uri="http://schemas.microsoft.com/office/infopath/2007/PartnerControls"/>
    <ds:schemaRef ds:uri="82ecf687-28d5-485b-a37e-d2c94b36a158"/>
    <ds:schemaRef ds:uri="1d121436-e6f9-4fa4-bb3f-81f41704d615"/>
  </ds:schemaRefs>
</ds:datastoreItem>
</file>

<file path=customXml/itemProps4.xml><?xml version="1.0" encoding="utf-8"?>
<ds:datastoreItem xmlns:ds="http://schemas.openxmlformats.org/officeDocument/2006/customXml" ds:itemID="{EF7E231A-FCF4-4E56-81F0-DB0A34FDE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41429</Words>
  <Characters>227864</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Ministerio de Hacienda y Crédito Público</Company>
  <LinksUpToDate>false</LinksUpToDate>
  <CharactersWithSpaces>268756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Derly Catherine Cifuentes Guerrero</dc:creator>
  <cp:lastModifiedBy>Maria Angelica Fernandez Mahecha</cp:lastModifiedBy>
  <cp:revision>2</cp:revision>
  <dcterms:created xsi:type="dcterms:W3CDTF">2025-04-10T15:42:00Z</dcterms:created>
  <dcterms:modified xsi:type="dcterms:W3CDTF">2025-04-10T15:42:00Z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0x01010044CAF40325C9FA45BE41CDD1FAD4A046</vt:lpwstr>
  </property>
  <property fmtid="{D5CDD505-2E9C-101B-9397-08002B2CF9AE}" pid="3" name="_dlc_DocIdItemGuid">
    <vt:lpwstr>0dfa9eae-ca48-42e4-b410-8a7eb0e6265a</vt:lpwstr>
  </property>
  <property fmtid="{D5CDD505-2E9C-101B-9397-08002B2CF9AE}" pid="4" name="_dlc_DocId">
    <vt:lpwstr>KR33XJ2DTYQK-62-4174</vt:lpwstr>
  </property>
  <property fmtid="{D5CDD505-2E9C-101B-9397-08002B2CF9AE}" pid="5" name="_dlc_DocIdUrl">
    <vt:lpwstr>http://mintranet/sug/_layouts/DocIdRedir.aspx?ID=KR33XJ2DTYQK-62-4174, KR33XJ2DTYQK-62-4174</vt:lpwstr>
  </property>
</Properties>
</file>